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640"/>
        <w:rPr>
          <w:rFonts w:ascii="仿宋" w:hAnsi="仿宋" w:eastAsia="仿宋"/>
        </w:rPr>
      </w:pPr>
      <w:bookmarkStart w:id="0" w:name="_Hlk100778336"/>
      <w:bookmarkEnd w:id="0"/>
    </w:p>
    <w:p>
      <w:pPr>
        <w:ind w:firstLine="640"/>
        <w:rPr>
          <w:rFonts w:ascii="仿宋" w:hAnsi="仿宋" w:eastAsia="仿宋"/>
        </w:rPr>
      </w:pPr>
    </w:p>
    <w:p>
      <w:pPr>
        <w:ind w:firstLine="640"/>
        <w:rPr>
          <w:rFonts w:ascii="仿宋" w:hAnsi="仿宋" w:eastAsia="仿宋"/>
        </w:rPr>
      </w:pPr>
    </w:p>
    <w:p>
      <w:pPr>
        <w:spacing w:line="840" w:lineRule="auto"/>
        <w:ind w:firstLine="960"/>
        <w:jc w:val="center"/>
        <w:rPr>
          <w:rFonts w:ascii="黑体" w:hAnsi="黑体" w:eastAsia="黑体"/>
          <w:sz w:val="48"/>
          <w:szCs w:val="48"/>
        </w:rPr>
      </w:pPr>
      <w:bookmarkStart w:id="1" w:name="_Toc100845674"/>
      <w:bookmarkStart w:id="2" w:name="_Toc100847000"/>
      <w:r>
        <w:rPr>
          <w:rFonts w:hint="eastAsia" w:ascii="黑体" w:hAnsi="黑体" w:eastAsia="黑体"/>
          <w:sz w:val="48"/>
          <w:szCs w:val="48"/>
        </w:rPr>
        <w:t>北京市思想政治工作研究会</w:t>
      </w:r>
    </w:p>
    <w:bookmarkEnd w:id="1"/>
    <w:bookmarkEnd w:id="2"/>
    <w:p>
      <w:pPr>
        <w:spacing w:line="840" w:lineRule="auto"/>
        <w:ind w:firstLine="960"/>
        <w:jc w:val="center"/>
        <w:rPr>
          <w:rFonts w:ascii="黑体" w:hAnsi="黑体" w:eastAsia="黑体"/>
          <w:sz w:val="48"/>
          <w:szCs w:val="48"/>
        </w:rPr>
      </w:pPr>
      <w:bookmarkStart w:id="3" w:name="_Toc100847001"/>
      <w:bookmarkStart w:id="4" w:name="_Toc100845675"/>
      <w:r>
        <w:rPr>
          <w:rFonts w:ascii="黑体" w:hAnsi="黑体" w:eastAsia="黑体"/>
          <w:sz w:val="48"/>
          <w:szCs w:val="48"/>
        </w:rPr>
        <w:t>项目支出绩效</w:t>
      </w:r>
      <w:r>
        <w:rPr>
          <w:rFonts w:hint="eastAsia" w:ascii="黑体" w:hAnsi="黑体" w:eastAsia="黑体"/>
          <w:sz w:val="48"/>
          <w:szCs w:val="48"/>
        </w:rPr>
        <w:t>评价</w:t>
      </w:r>
      <w:r>
        <w:rPr>
          <w:rFonts w:ascii="黑体" w:hAnsi="黑体" w:eastAsia="黑体"/>
          <w:sz w:val="48"/>
          <w:szCs w:val="48"/>
        </w:rPr>
        <w:t>报告</w:t>
      </w:r>
      <w:bookmarkEnd w:id="3"/>
      <w:bookmarkEnd w:id="4"/>
    </w:p>
    <w:p>
      <w:pPr>
        <w:spacing w:line="800" w:lineRule="exact"/>
        <w:ind w:firstLine="880"/>
        <w:jc w:val="center"/>
        <w:rPr>
          <w:rFonts w:ascii="仿宋" w:hAnsi="仿宋" w:eastAsia="仿宋"/>
          <w:color w:val="000000"/>
          <w:sz w:val="44"/>
          <w:szCs w:val="44"/>
        </w:rPr>
      </w:pPr>
    </w:p>
    <w:p>
      <w:pPr>
        <w:spacing w:line="800" w:lineRule="exact"/>
        <w:ind w:firstLine="880"/>
        <w:jc w:val="center"/>
        <w:rPr>
          <w:rFonts w:ascii="仿宋" w:hAnsi="仿宋" w:eastAsia="仿宋"/>
          <w:color w:val="000000"/>
          <w:sz w:val="44"/>
          <w:szCs w:val="44"/>
        </w:rPr>
      </w:pPr>
    </w:p>
    <w:p>
      <w:pPr>
        <w:spacing w:line="700" w:lineRule="exact"/>
        <w:ind w:firstLine="880"/>
        <w:jc w:val="center"/>
        <w:rPr>
          <w:rFonts w:ascii="仿宋" w:hAnsi="仿宋" w:eastAsia="仿宋"/>
          <w:color w:val="000000"/>
          <w:sz w:val="44"/>
          <w:szCs w:val="44"/>
        </w:rPr>
      </w:pPr>
    </w:p>
    <w:p>
      <w:pPr>
        <w:spacing w:line="700" w:lineRule="exact"/>
        <w:ind w:firstLine="880"/>
        <w:jc w:val="center"/>
        <w:rPr>
          <w:rFonts w:ascii="仿宋" w:hAnsi="仿宋" w:eastAsia="仿宋"/>
          <w:color w:val="000000"/>
          <w:sz w:val="44"/>
          <w:szCs w:val="44"/>
        </w:rPr>
      </w:pPr>
    </w:p>
    <w:p>
      <w:pPr>
        <w:spacing w:line="700" w:lineRule="exact"/>
        <w:ind w:firstLine="880"/>
        <w:jc w:val="center"/>
        <w:rPr>
          <w:rFonts w:ascii="仿宋" w:hAnsi="仿宋" w:eastAsia="仿宋"/>
          <w:color w:val="000000"/>
          <w:sz w:val="44"/>
          <w:szCs w:val="44"/>
        </w:rPr>
      </w:pPr>
    </w:p>
    <w:p>
      <w:pPr>
        <w:spacing w:line="700" w:lineRule="exact"/>
        <w:ind w:firstLine="880"/>
        <w:jc w:val="center"/>
        <w:rPr>
          <w:rFonts w:ascii="仿宋" w:hAnsi="仿宋" w:eastAsia="仿宋"/>
          <w:color w:val="000000"/>
          <w:sz w:val="44"/>
          <w:szCs w:val="44"/>
        </w:rPr>
      </w:pPr>
    </w:p>
    <w:p>
      <w:pPr>
        <w:spacing w:line="700" w:lineRule="exact"/>
        <w:ind w:firstLine="880"/>
        <w:jc w:val="center"/>
        <w:rPr>
          <w:rFonts w:ascii="仿宋" w:hAnsi="仿宋" w:eastAsia="仿宋"/>
          <w:color w:val="000000"/>
          <w:sz w:val="44"/>
          <w:szCs w:val="44"/>
        </w:rPr>
      </w:pPr>
    </w:p>
    <w:p>
      <w:pPr>
        <w:spacing w:line="700" w:lineRule="exact"/>
        <w:ind w:firstLine="880"/>
        <w:jc w:val="center"/>
        <w:rPr>
          <w:rFonts w:ascii="仿宋" w:hAnsi="仿宋" w:eastAsia="仿宋"/>
          <w:color w:val="000000"/>
          <w:sz w:val="44"/>
          <w:szCs w:val="44"/>
        </w:rPr>
      </w:pPr>
    </w:p>
    <w:p>
      <w:pPr>
        <w:ind w:firstLine="0" w:firstLineChars="0"/>
        <w:jc w:val="center"/>
        <w:rPr>
          <w:rFonts w:ascii="黑体" w:hAnsi="黑体" w:eastAsia="黑体"/>
          <w:color w:val="000000"/>
          <w:sz w:val="44"/>
          <w:szCs w:val="44"/>
        </w:rPr>
      </w:pPr>
      <w:r>
        <w:rPr>
          <w:rFonts w:hint="eastAsia" w:ascii="黑体" w:hAnsi="黑体" w:eastAsia="黑体"/>
          <w:color w:val="000000"/>
          <w:sz w:val="44"/>
          <w:szCs w:val="44"/>
        </w:rPr>
        <w:t>北京市思想政治工作研究会</w:t>
      </w:r>
    </w:p>
    <w:p>
      <w:pPr>
        <w:ind w:firstLine="0" w:firstLineChars="0"/>
        <w:jc w:val="center"/>
        <w:rPr>
          <w:rFonts w:ascii="黑体" w:hAnsi="黑体" w:eastAsia="黑体"/>
          <w:color w:val="000000"/>
          <w:sz w:val="44"/>
          <w:szCs w:val="44"/>
        </w:rPr>
      </w:pPr>
      <w:r>
        <w:rPr>
          <w:rFonts w:ascii="黑体" w:hAnsi="黑体" w:eastAsia="黑体"/>
          <w:color w:val="000000"/>
          <w:sz w:val="44"/>
          <w:szCs w:val="44"/>
        </w:rPr>
        <w:t>二</w:t>
      </w:r>
      <w:r>
        <w:rPr>
          <w:rFonts w:hint="eastAsia" w:ascii="黑体" w:hAnsi="黑体" w:eastAsia="黑体" w:cs="宋体"/>
          <w:color w:val="000000"/>
          <w:sz w:val="44"/>
          <w:szCs w:val="44"/>
        </w:rPr>
        <w:t>〇</w:t>
      </w:r>
      <w:r>
        <w:rPr>
          <w:rFonts w:ascii="黑体" w:hAnsi="黑体" w:eastAsia="黑体"/>
          <w:color w:val="000000"/>
          <w:sz w:val="44"/>
          <w:szCs w:val="44"/>
        </w:rPr>
        <w:t>二二年</w:t>
      </w:r>
      <w:r>
        <w:rPr>
          <w:rFonts w:hint="eastAsia" w:ascii="黑体" w:hAnsi="黑体" w:eastAsia="黑体"/>
          <w:color w:val="000000"/>
          <w:sz w:val="44"/>
          <w:szCs w:val="44"/>
        </w:rPr>
        <w:t>五</w:t>
      </w:r>
      <w:r>
        <w:rPr>
          <w:rFonts w:ascii="黑体" w:hAnsi="黑体" w:eastAsia="黑体"/>
          <w:color w:val="000000"/>
          <w:sz w:val="44"/>
          <w:szCs w:val="44"/>
        </w:rPr>
        <w:t>月</w:t>
      </w:r>
    </w:p>
    <w:p>
      <w:pPr>
        <w:widowControl/>
        <w:spacing w:before="0" w:after="0" w:line="240" w:lineRule="auto"/>
        <w:ind w:firstLine="0" w:firstLineChars="0"/>
        <w:jc w:val="left"/>
        <w:rPr>
          <w:rFonts w:ascii="仿宋" w:hAnsi="仿宋" w:eastAsia="仿宋"/>
          <w:bCs/>
          <w:color w:val="000000"/>
          <w:sz w:val="40"/>
          <w:szCs w:val="40"/>
        </w:rPr>
      </w:pPr>
    </w:p>
    <w:p>
      <w:pPr>
        <w:ind w:firstLine="883"/>
        <w:jc w:val="center"/>
        <w:rPr>
          <w:rFonts w:ascii="仿宋" w:hAnsi="仿宋" w:eastAsia="仿宋"/>
          <w:b/>
          <w:bCs/>
          <w:sz w:val="44"/>
          <w:szCs w:val="44"/>
        </w:rPr>
        <w:sectPr>
          <w:headerReference r:id="rId7" w:type="first"/>
          <w:footerReference r:id="rId10" w:type="first"/>
          <w:headerReference r:id="rId5" w:type="default"/>
          <w:footerReference r:id="rId8" w:type="default"/>
          <w:headerReference r:id="rId6" w:type="even"/>
          <w:footerReference r:id="rId9" w:type="even"/>
          <w:pgSz w:w="11906" w:h="16838"/>
          <w:pgMar w:top="1474" w:right="1701" w:bottom="1418" w:left="1701" w:header="851" w:footer="992" w:gutter="0"/>
          <w:pgNumType w:fmt="numberInDash" w:start="1"/>
          <w:cols w:space="425" w:num="1"/>
          <w:docGrid w:type="lines" w:linePitch="312" w:charSpace="0"/>
        </w:sectPr>
      </w:pPr>
    </w:p>
    <w:p>
      <w:pPr>
        <w:ind w:firstLine="883"/>
        <w:jc w:val="center"/>
        <w:rPr>
          <w:rFonts w:ascii="仿宋" w:hAnsi="仿宋" w:eastAsia="仿宋"/>
          <w:b/>
          <w:bCs/>
          <w:sz w:val="44"/>
          <w:szCs w:val="44"/>
        </w:rPr>
      </w:pPr>
    </w:p>
    <w:p>
      <w:pPr>
        <w:ind w:firstLine="960"/>
        <w:jc w:val="center"/>
        <w:rPr>
          <w:rFonts w:ascii="黑体" w:hAnsi="黑体" w:eastAsia="黑体"/>
          <w:sz w:val="48"/>
          <w:szCs w:val="48"/>
        </w:rPr>
      </w:pPr>
      <w:r>
        <w:rPr>
          <w:rFonts w:hint="eastAsia" w:ascii="黑体" w:hAnsi="黑体" w:eastAsia="黑体"/>
          <w:sz w:val="48"/>
          <w:szCs w:val="48"/>
        </w:rPr>
        <w:t>北京市思想政治工作研究会</w:t>
      </w:r>
    </w:p>
    <w:p>
      <w:pPr>
        <w:ind w:firstLine="960"/>
        <w:jc w:val="center"/>
        <w:rPr>
          <w:rFonts w:ascii="黑体" w:hAnsi="黑体" w:eastAsia="黑体"/>
          <w:sz w:val="48"/>
          <w:szCs w:val="48"/>
        </w:rPr>
      </w:pPr>
      <w:r>
        <w:rPr>
          <w:rFonts w:hint="eastAsia" w:ascii="黑体" w:hAnsi="黑体" w:eastAsia="黑体"/>
          <w:sz w:val="48"/>
          <w:szCs w:val="48"/>
        </w:rPr>
        <w:t>网络信息化综合运维服务</w:t>
      </w:r>
    </w:p>
    <w:p>
      <w:pPr>
        <w:ind w:firstLine="960"/>
        <w:jc w:val="center"/>
        <w:rPr>
          <w:rFonts w:ascii="黑体" w:hAnsi="黑体" w:eastAsia="黑体"/>
          <w:sz w:val="48"/>
          <w:szCs w:val="48"/>
        </w:rPr>
      </w:pPr>
      <w:r>
        <w:rPr>
          <w:rFonts w:hint="eastAsia" w:ascii="黑体" w:hAnsi="黑体" w:eastAsia="黑体"/>
          <w:sz w:val="48"/>
          <w:szCs w:val="48"/>
        </w:rPr>
        <w:t>项目支出绩效评价报告</w:t>
      </w:r>
    </w:p>
    <w:p>
      <w:pPr>
        <w:ind w:firstLine="1044"/>
        <w:jc w:val="center"/>
        <w:rPr>
          <w:rFonts w:ascii="仿宋" w:hAnsi="仿宋" w:eastAsia="仿宋"/>
          <w:b/>
          <w:bCs/>
          <w:sz w:val="52"/>
        </w:rPr>
      </w:pPr>
    </w:p>
    <w:p>
      <w:pPr>
        <w:ind w:firstLine="600"/>
        <w:jc w:val="center"/>
        <w:rPr>
          <w:rFonts w:ascii="仿宋" w:hAnsi="仿宋" w:eastAsia="仿宋"/>
          <w:sz w:val="30"/>
        </w:rPr>
      </w:pPr>
    </w:p>
    <w:p>
      <w:pPr>
        <w:ind w:firstLine="600"/>
        <w:jc w:val="center"/>
        <w:rPr>
          <w:rFonts w:ascii="仿宋" w:hAnsi="仿宋" w:eastAsia="仿宋"/>
          <w:sz w:val="30"/>
        </w:rPr>
      </w:pPr>
    </w:p>
    <w:p>
      <w:pPr>
        <w:ind w:firstLine="600"/>
        <w:rPr>
          <w:rFonts w:ascii="仿宋" w:hAnsi="仿宋" w:eastAsia="仿宋"/>
          <w:sz w:val="30"/>
        </w:rPr>
      </w:pPr>
    </w:p>
    <w:p>
      <w:pPr>
        <w:spacing w:line="600" w:lineRule="auto"/>
        <w:ind w:firstLine="640"/>
        <w:rPr>
          <w:rFonts w:ascii="仿宋" w:hAnsi="仿宋" w:eastAsia="仿宋"/>
        </w:rPr>
      </w:pPr>
    </w:p>
    <w:p>
      <w:pPr>
        <w:spacing w:line="600" w:lineRule="auto"/>
        <w:ind w:firstLine="640"/>
        <w:rPr>
          <w:rFonts w:ascii="仿宋" w:hAnsi="仿宋" w:eastAsia="仿宋"/>
        </w:rPr>
      </w:pPr>
    </w:p>
    <w:p>
      <w:pPr>
        <w:spacing w:line="600" w:lineRule="auto"/>
        <w:ind w:firstLine="640"/>
        <w:rPr>
          <w:rFonts w:ascii="仿宋" w:hAnsi="仿宋" w:eastAsia="仿宋"/>
        </w:rPr>
      </w:pPr>
    </w:p>
    <w:p>
      <w:pPr>
        <w:spacing w:line="600" w:lineRule="auto"/>
        <w:ind w:firstLine="720"/>
        <w:rPr>
          <w:rFonts w:asciiTheme="minorEastAsia" w:hAnsiTheme="minorEastAsia" w:eastAsiaTheme="minorEastAsia"/>
          <w:sz w:val="36"/>
          <w:szCs w:val="36"/>
          <w:u w:val="single"/>
        </w:rPr>
      </w:pPr>
      <w:r>
        <w:rPr>
          <w:rFonts w:hint="eastAsia" w:asciiTheme="minorEastAsia" w:hAnsiTheme="minorEastAsia" w:eastAsiaTheme="minorEastAsia"/>
          <w:sz w:val="36"/>
          <w:szCs w:val="36"/>
        </w:rPr>
        <w:t xml:space="preserve">主管部门 </w:t>
      </w:r>
      <w:r>
        <w:rPr>
          <w:rFonts w:hint="eastAsia" w:asciiTheme="minorEastAsia" w:hAnsiTheme="minorEastAsia" w:eastAsiaTheme="minorEastAsia"/>
          <w:sz w:val="36"/>
          <w:szCs w:val="36"/>
          <w:u w:val="single"/>
        </w:rPr>
        <w:t xml:space="preserve">北京市思想政治工作研究会 </w:t>
      </w:r>
    </w:p>
    <w:p>
      <w:pPr>
        <w:spacing w:line="600" w:lineRule="auto"/>
        <w:ind w:firstLine="720"/>
        <w:rPr>
          <w:rFonts w:asciiTheme="minorEastAsia" w:hAnsiTheme="minorEastAsia" w:eastAsiaTheme="minorEastAsia"/>
          <w:sz w:val="36"/>
          <w:szCs w:val="36"/>
          <w:u w:val="single"/>
        </w:rPr>
      </w:pPr>
      <w:r>
        <w:rPr>
          <w:rFonts w:hint="eastAsia" w:asciiTheme="minorEastAsia" w:hAnsiTheme="minorEastAsia" w:eastAsiaTheme="minorEastAsia"/>
          <w:sz w:val="36"/>
          <w:szCs w:val="36"/>
        </w:rPr>
        <w:t xml:space="preserve">项目单位 </w:t>
      </w:r>
      <w:r>
        <w:rPr>
          <w:rFonts w:hint="eastAsia" w:asciiTheme="minorEastAsia" w:hAnsiTheme="minorEastAsia" w:eastAsiaTheme="minorEastAsia"/>
          <w:sz w:val="36"/>
          <w:szCs w:val="36"/>
          <w:u w:val="single"/>
        </w:rPr>
        <w:t>北京市思想政治工作研究会</w:t>
      </w:r>
    </w:p>
    <w:p>
      <w:pPr>
        <w:spacing w:line="600" w:lineRule="auto"/>
        <w:ind w:left="365" w:leftChars="114" w:right="134" w:rightChars="42" w:firstLine="360" w:firstLineChars="100"/>
        <w:jc w:val="left"/>
        <w:rPr>
          <w:rFonts w:asciiTheme="minorEastAsia" w:hAnsiTheme="minorEastAsia" w:eastAsiaTheme="minorEastAsia"/>
          <w:sz w:val="36"/>
          <w:szCs w:val="36"/>
          <w:u w:val="single"/>
        </w:rPr>
      </w:pPr>
      <w:r>
        <w:rPr>
          <w:rFonts w:hint="eastAsia" w:asciiTheme="minorEastAsia" w:hAnsiTheme="minorEastAsia" w:eastAsiaTheme="minorEastAsia"/>
          <w:sz w:val="36"/>
          <w:szCs w:val="36"/>
        </w:rPr>
        <w:t xml:space="preserve">项目名称 </w:t>
      </w:r>
      <w:r>
        <w:rPr>
          <w:rFonts w:hint="eastAsia" w:asciiTheme="minorEastAsia" w:hAnsiTheme="minorEastAsia" w:eastAsiaTheme="minorEastAsia"/>
          <w:sz w:val="36"/>
          <w:szCs w:val="36"/>
          <w:u w:val="single"/>
        </w:rPr>
        <w:t>网络信息化综合运维服务</w:t>
      </w:r>
    </w:p>
    <w:p>
      <w:pPr>
        <w:ind w:firstLine="640"/>
        <w:rPr>
          <w:rFonts w:ascii="仿宋" w:hAnsi="仿宋" w:eastAsia="仿宋"/>
        </w:rPr>
      </w:pPr>
    </w:p>
    <w:p>
      <w:pPr>
        <w:ind w:firstLine="600"/>
        <w:rPr>
          <w:rFonts w:ascii="仿宋" w:hAnsi="仿宋" w:eastAsia="仿宋"/>
          <w:sz w:val="30"/>
          <w:u w:val="single"/>
        </w:rPr>
      </w:pPr>
    </w:p>
    <w:p>
      <w:pPr>
        <w:ind w:firstLine="602"/>
        <w:rPr>
          <w:rFonts w:ascii="仿宋" w:hAnsi="仿宋" w:eastAsia="仿宋"/>
          <w:b/>
          <w:bCs/>
          <w:sz w:val="30"/>
          <w:u w:val="single"/>
        </w:rPr>
      </w:pPr>
    </w:p>
    <w:p>
      <w:pPr>
        <w:ind w:firstLine="880"/>
        <w:jc w:val="center"/>
        <w:rPr>
          <w:rFonts w:ascii="黑体" w:hAnsi="黑体" w:eastAsia="黑体"/>
          <w:sz w:val="44"/>
          <w:szCs w:val="44"/>
        </w:rPr>
      </w:pPr>
      <w:r>
        <w:rPr>
          <w:rFonts w:hint="eastAsia" w:ascii="黑体" w:hAnsi="黑体" w:eastAsia="黑体"/>
          <w:sz w:val="44"/>
          <w:szCs w:val="44"/>
        </w:rPr>
        <w:t>北京市思想政治工作研究会</w:t>
      </w:r>
    </w:p>
    <w:p>
      <w:pPr>
        <w:ind w:firstLine="880"/>
        <w:jc w:val="center"/>
        <w:rPr>
          <w:rFonts w:ascii="黑体" w:hAnsi="黑体" w:eastAsia="黑体"/>
          <w:sz w:val="44"/>
          <w:szCs w:val="44"/>
        </w:rPr>
      </w:pPr>
      <w:r>
        <w:rPr>
          <w:rFonts w:hint="eastAsia" w:ascii="黑体" w:hAnsi="黑体" w:eastAsia="黑体"/>
          <w:sz w:val="44"/>
          <w:szCs w:val="44"/>
        </w:rPr>
        <w:t>二○二二年五月</w:t>
      </w:r>
    </w:p>
    <w:p>
      <w:pPr>
        <w:ind w:firstLine="0" w:firstLineChars="0"/>
        <w:jc w:val="center"/>
        <w:rPr>
          <w:rFonts w:asciiTheme="majorEastAsia" w:hAnsiTheme="majorEastAsia" w:eastAsiaTheme="majorEastAsia"/>
          <w:b/>
          <w:bCs/>
          <w:sz w:val="24"/>
          <w:szCs w:val="24"/>
        </w:rPr>
      </w:pPr>
      <w:r>
        <w:drawing>
          <wp:anchor distT="0" distB="0" distL="114300" distR="114300" simplePos="0" relativeHeight="251660288" behindDoc="1" locked="0" layoutInCell="1" allowOverlap="1">
            <wp:simplePos x="0" y="0"/>
            <wp:positionH relativeFrom="column">
              <wp:posOffset>-635</wp:posOffset>
            </wp:positionH>
            <wp:positionV relativeFrom="paragraph">
              <wp:posOffset>4137660</wp:posOffset>
            </wp:positionV>
            <wp:extent cx="5400040" cy="4660900"/>
            <wp:effectExtent l="0" t="0" r="0" b="6350"/>
            <wp:wrapTight wrapText="bothSides">
              <wp:wrapPolygon>
                <wp:start x="0" y="0"/>
                <wp:lineTo x="0" y="21541"/>
                <wp:lineTo x="21488" y="21541"/>
                <wp:lineTo x="21488" y="0"/>
                <wp:lineTo x="0" y="0"/>
              </wp:wrapPolygon>
            </wp:wrapTight>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400040" cy="4660900"/>
                    </a:xfrm>
                    <a:prstGeom prst="rect">
                      <a:avLst/>
                    </a:prstGeom>
                    <a:noFill/>
                    <a:ln>
                      <a:noFill/>
                    </a:ln>
                  </pic:spPr>
                </pic:pic>
              </a:graphicData>
            </a:graphic>
          </wp:anchor>
        </w:drawing>
      </w:r>
      <w:r>
        <w:rPr>
          <w:sz w:val="24"/>
          <w:szCs w:val="24"/>
        </w:rPr>
        <w:drawing>
          <wp:anchor distT="0" distB="0" distL="114300" distR="114300" simplePos="0" relativeHeight="251659264" behindDoc="1" locked="0" layoutInCell="1" allowOverlap="1">
            <wp:simplePos x="0" y="0"/>
            <wp:positionH relativeFrom="column">
              <wp:posOffset>-635</wp:posOffset>
            </wp:positionH>
            <wp:positionV relativeFrom="page">
              <wp:posOffset>1035050</wp:posOffset>
            </wp:positionV>
            <wp:extent cx="5400040" cy="3740150"/>
            <wp:effectExtent l="0" t="0" r="0" b="0"/>
            <wp:wrapTight wrapText="bothSides">
              <wp:wrapPolygon>
                <wp:start x="0" y="0"/>
                <wp:lineTo x="0" y="21453"/>
                <wp:lineTo x="21488" y="21453"/>
                <wp:lineTo x="21488" y="0"/>
                <wp:lineTo x="0" y="0"/>
              </wp:wrapPolygon>
            </wp:wrapTight>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400040" cy="3740150"/>
                    </a:xfrm>
                    <a:prstGeom prst="rect">
                      <a:avLst/>
                    </a:prstGeom>
                    <a:noFill/>
                    <a:ln>
                      <a:noFill/>
                    </a:ln>
                  </pic:spPr>
                </pic:pic>
              </a:graphicData>
            </a:graphic>
          </wp:anchor>
        </w:drawing>
      </w:r>
      <w:r>
        <w:rPr>
          <w:rFonts w:hint="eastAsia" w:asciiTheme="majorEastAsia" w:hAnsiTheme="majorEastAsia" w:eastAsiaTheme="majorEastAsia"/>
          <w:b/>
          <w:bCs/>
          <w:sz w:val="24"/>
          <w:szCs w:val="24"/>
        </w:rPr>
        <w:t>机房网络设备运维</w:t>
      </w:r>
    </w:p>
    <w:p>
      <w:pPr>
        <w:ind w:firstLine="0" w:firstLineChars="0"/>
        <w:jc w:val="center"/>
        <w:rPr>
          <w:rFonts w:asciiTheme="majorEastAsia" w:hAnsiTheme="majorEastAsia" w:eastAsiaTheme="majorEastAsia"/>
          <w:b/>
          <w:bCs/>
          <w:sz w:val="24"/>
          <w:szCs w:val="24"/>
        </w:rPr>
      </w:pPr>
      <w:r>
        <w:drawing>
          <wp:anchor distT="0" distB="0" distL="114300" distR="114300" simplePos="0" relativeHeight="251662336" behindDoc="0" locked="0" layoutInCell="1" allowOverlap="1">
            <wp:simplePos x="0" y="0"/>
            <wp:positionH relativeFrom="column">
              <wp:posOffset>-635</wp:posOffset>
            </wp:positionH>
            <wp:positionV relativeFrom="paragraph">
              <wp:posOffset>3547110</wp:posOffset>
            </wp:positionV>
            <wp:extent cx="5400040" cy="4870450"/>
            <wp:effectExtent l="0" t="0" r="0" b="635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400040" cy="4870450"/>
                    </a:xfrm>
                    <a:prstGeom prst="rect">
                      <a:avLst/>
                    </a:prstGeom>
                    <a:noFill/>
                    <a:ln>
                      <a:noFill/>
                    </a:ln>
                  </pic:spPr>
                </pic:pic>
              </a:graphicData>
            </a:graphic>
          </wp:anchor>
        </w:drawing>
      </w:r>
      <w:r>
        <w:drawing>
          <wp:anchor distT="0" distB="0" distL="114300" distR="114300" simplePos="0" relativeHeight="251661312" behindDoc="0" locked="0" layoutInCell="1" allowOverlap="1">
            <wp:simplePos x="0" y="0"/>
            <wp:positionH relativeFrom="column">
              <wp:posOffset>-635</wp:posOffset>
            </wp:positionH>
            <wp:positionV relativeFrom="paragraph">
              <wp:posOffset>48260</wp:posOffset>
            </wp:positionV>
            <wp:extent cx="5400040" cy="3098800"/>
            <wp:effectExtent l="0" t="0" r="0" b="635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400040" cy="3098800"/>
                    </a:xfrm>
                    <a:prstGeom prst="rect">
                      <a:avLst/>
                    </a:prstGeom>
                    <a:noFill/>
                    <a:ln>
                      <a:noFill/>
                    </a:ln>
                  </pic:spPr>
                </pic:pic>
              </a:graphicData>
            </a:graphic>
          </wp:anchor>
        </w:drawing>
      </w:r>
      <w:r>
        <w:rPr>
          <w:rFonts w:hint="eastAsia" w:asciiTheme="majorEastAsia" w:hAnsiTheme="majorEastAsia" w:eastAsiaTheme="majorEastAsia"/>
          <w:b/>
          <w:bCs/>
          <w:sz w:val="24"/>
          <w:szCs w:val="24"/>
        </w:rPr>
        <w:t>机房电力系统设备更换</w:t>
      </w:r>
    </w:p>
    <w:p>
      <w:pPr>
        <w:ind w:firstLine="0" w:firstLineChars="0"/>
        <w:jc w:val="center"/>
        <w:rPr>
          <w:rFonts w:asciiTheme="majorEastAsia" w:hAnsiTheme="majorEastAsia" w:eastAsiaTheme="majorEastAsia"/>
          <w:b/>
          <w:bCs/>
          <w:sz w:val="24"/>
          <w:szCs w:val="24"/>
        </w:rPr>
        <w:sectPr>
          <w:pgSz w:w="11906" w:h="16838"/>
          <w:pgMar w:top="1474" w:right="1701" w:bottom="1418" w:left="1701" w:header="851" w:footer="992" w:gutter="0"/>
          <w:pgNumType w:fmt="numberInDash" w:start="1"/>
          <w:cols w:space="425" w:num="1"/>
          <w:docGrid w:type="lines" w:linePitch="312" w:charSpace="0"/>
        </w:sectPr>
      </w:pPr>
      <w:r>
        <w:rPr>
          <w:rFonts w:hint="eastAsia" w:asciiTheme="majorEastAsia" w:hAnsiTheme="majorEastAsia" w:eastAsiaTheme="majorEastAsia"/>
          <w:b/>
          <w:bCs/>
          <w:sz w:val="24"/>
          <w:szCs w:val="24"/>
        </w:rPr>
        <w:t>宿舍楼网络设备故障维修</w:t>
      </w:r>
    </w:p>
    <w:p>
      <w:pPr>
        <w:ind w:firstLine="0" w:firstLineChars="0"/>
        <w:jc w:val="center"/>
        <w:rPr>
          <w:rFonts w:asciiTheme="majorEastAsia" w:hAnsiTheme="majorEastAsia" w:eastAsiaTheme="majorEastAsia"/>
          <w:b/>
          <w:color w:val="000000"/>
          <w:sz w:val="44"/>
          <w:szCs w:val="44"/>
        </w:rPr>
      </w:pPr>
      <w:r>
        <w:rPr>
          <w:rFonts w:hint="eastAsia" w:asciiTheme="majorEastAsia" w:hAnsiTheme="majorEastAsia" w:eastAsiaTheme="majorEastAsia"/>
          <w:b/>
          <w:color w:val="000000"/>
          <w:sz w:val="44"/>
          <w:szCs w:val="44"/>
        </w:rPr>
        <w:t>目 录</w:t>
      </w:r>
    </w:p>
    <w:p>
      <w:pPr>
        <w:pStyle w:val="11"/>
        <w:snapToGrid w:val="0"/>
        <w:spacing w:before="0" w:after="0" w:line="600" w:lineRule="exact"/>
        <w:rPr>
          <w:rFonts w:ascii="仿宋_GB2312" w:cstheme="minorBidi"/>
          <w:b w:val="0"/>
          <w:bCs w:val="0"/>
          <w:caps w:val="0"/>
          <w:sz w:val="32"/>
          <w:szCs w:val="32"/>
        </w:rPr>
      </w:pPr>
      <w:r>
        <w:rPr>
          <w:rFonts w:hint="eastAsia" w:ascii="仿宋_GB2312" w:hAnsi="仿宋"/>
          <w:b w:val="0"/>
          <w:bCs w:val="0"/>
          <w:sz w:val="32"/>
          <w:szCs w:val="32"/>
        </w:rPr>
        <w:fldChar w:fldCharType="begin"/>
      </w:r>
      <w:r>
        <w:rPr>
          <w:rFonts w:hint="eastAsia" w:ascii="仿宋_GB2312" w:hAnsi="仿宋"/>
          <w:b w:val="0"/>
          <w:bCs w:val="0"/>
          <w:sz w:val="32"/>
          <w:szCs w:val="32"/>
        </w:rPr>
        <w:instrText xml:space="preserve"> TOC \o "1-3" \h \z \u </w:instrText>
      </w:r>
      <w:r>
        <w:rPr>
          <w:rFonts w:hint="eastAsia" w:ascii="仿宋_GB2312" w:hAnsi="仿宋"/>
          <w:b w:val="0"/>
          <w:bCs w:val="0"/>
          <w:sz w:val="32"/>
          <w:szCs w:val="32"/>
        </w:rPr>
        <w:fldChar w:fldCharType="separate"/>
      </w:r>
      <w:r>
        <w:fldChar w:fldCharType="begin"/>
      </w:r>
      <w:r>
        <w:instrText xml:space="preserve"> HYPERLINK \l "_Toc103415877" </w:instrText>
      </w:r>
      <w:r>
        <w:fldChar w:fldCharType="separate"/>
      </w:r>
      <w:r>
        <w:rPr>
          <w:rStyle w:val="19"/>
          <w:rFonts w:hint="eastAsia" w:ascii="仿宋_GB2312"/>
          <w:b w:val="0"/>
          <w:bCs w:val="0"/>
          <w:sz w:val="32"/>
          <w:szCs w:val="32"/>
        </w:rPr>
        <w:t>一、 基本情</w:t>
      </w:r>
      <w:r>
        <w:rPr>
          <w:rStyle w:val="19"/>
          <w:rFonts w:hint="eastAsia" w:ascii="仿宋_GB2312" w:hAnsi="微软雅黑" w:cs="微软雅黑"/>
          <w:b w:val="0"/>
          <w:bCs w:val="0"/>
          <w:sz w:val="32"/>
          <w:szCs w:val="32"/>
        </w:rPr>
        <w:t>况</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_Toc103415877 \h </w:instrText>
      </w:r>
      <w:r>
        <w:rPr>
          <w:rFonts w:hint="eastAsia" w:ascii="仿宋_GB2312"/>
          <w:b w:val="0"/>
          <w:bCs w:val="0"/>
          <w:sz w:val="32"/>
          <w:szCs w:val="32"/>
        </w:rPr>
        <w:fldChar w:fldCharType="separate"/>
      </w:r>
      <w:r>
        <w:rPr>
          <w:rFonts w:ascii="仿宋_GB2312"/>
          <w:b w:val="0"/>
          <w:bCs w:val="0"/>
          <w:sz w:val="32"/>
          <w:szCs w:val="32"/>
        </w:rPr>
        <w:t>- 1 -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"_Toc103415878" </w:instrText>
      </w:r>
      <w:r>
        <w:fldChar w:fldCharType="separate"/>
      </w:r>
      <w:r>
        <w:rPr>
          <w:rStyle w:val="19"/>
          <w:rFonts w:hint="eastAsia" w:ascii="仿宋_GB2312"/>
          <w:sz w:val="32"/>
          <w:szCs w:val="32"/>
        </w:rPr>
        <w:t>（一） 项目概况</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_Toc103415878 \h </w:instrText>
      </w:r>
      <w:r>
        <w:rPr>
          <w:rFonts w:hint="eastAsia" w:ascii="仿宋_GB2312"/>
          <w:sz w:val="32"/>
          <w:szCs w:val="32"/>
        </w:rPr>
        <w:fldChar w:fldCharType="separate"/>
      </w:r>
      <w:r>
        <w:rPr>
          <w:rFonts w:ascii="仿宋_GB2312"/>
          <w:sz w:val="32"/>
          <w:szCs w:val="32"/>
        </w:rPr>
        <w:t>- 1 -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"_Toc103415879" </w:instrText>
      </w:r>
      <w:r>
        <w:fldChar w:fldCharType="separate"/>
      </w:r>
      <w:r>
        <w:rPr>
          <w:rStyle w:val="19"/>
          <w:rFonts w:hint="eastAsia" w:ascii="仿宋_GB2312"/>
          <w:sz w:val="32"/>
          <w:szCs w:val="32"/>
        </w:rPr>
        <w:t>（二） 项目绩效目标</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_Toc103415879 \h </w:instrText>
      </w:r>
      <w:r>
        <w:rPr>
          <w:rFonts w:hint="eastAsia" w:ascii="仿宋_GB2312"/>
          <w:sz w:val="32"/>
          <w:szCs w:val="32"/>
        </w:rPr>
        <w:fldChar w:fldCharType="separate"/>
      </w:r>
      <w:r>
        <w:rPr>
          <w:rFonts w:ascii="仿宋_GB2312"/>
          <w:sz w:val="32"/>
          <w:szCs w:val="32"/>
        </w:rPr>
        <w:t>- 4 -</w:t>
      </w:r>
      <w:r>
        <w:rPr>
          <w:rFonts w:hint="eastAsia" w:ascii="仿宋_GB2312"/>
          <w:sz w:val="32"/>
          <w:szCs w:val="32"/>
        </w:rPr>
        <w:fldChar w:fldCharType="end"/>
      </w:r>
      <w:r>
        <w:rPr>
          <w:rFonts w:hint="eastAsia" w:ascii="仿宋_GB2312"/>
          <w:sz w:val="32"/>
          <w:szCs w:val="32"/>
        </w:rPr>
        <w:fldChar w:fldCharType="end"/>
      </w:r>
    </w:p>
    <w:p>
      <w:pPr>
        <w:pStyle w:val="11"/>
        <w:snapToGrid w:val="0"/>
        <w:spacing w:before="0" w:after="0" w:line="600" w:lineRule="exact"/>
        <w:rPr>
          <w:rFonts w:ascii="仿宋_GB2312" w:cstheme="minorBidi"/>
          <w:b w:val="0"/>
          <w:bCs w:val="0"/>
          <w:caps w:val="0"/>
          <w:sz w:val="32"/>
          <w:szCs w:val="32"/>
        </w:rPr>
      </w:pPr>
      <w:r>
        <w:fldChar w:fldCharType="begin"/>
      </w:r>
      <w:r>
        <w:instrText xml:space="preserve"> HYPERLINK \l "_Toc103415880" </w:instrText>
      </w:r>
      <w:r>
        <w:fldChar w:fldCharType="separate"/>
      </w:r>
      <w:r>
        <w:rPr>
          <w:rStyle w:val="19"/>
          <w:rFonts w:hint="eastAsia" w:ascii="仿宋_GB2312"/>
          <w:b w:val="0"/>
          <w:bCs w:val="0"/>
          <w:sz w:val="32"/>
          <w:szCs w:val="32"/>
        </w:rPr>
        <w:t>二、 绩效评价工作开展情况</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_Toc103415880 \h </w:instrText>
      </w:r>
      <w:r>
        <w:rPr>
          <w:rFonts w:hint="eastAsia" w:ascii="仿宋_GB2312"/>
          <w:b w:val="0"/>
          <w:bCs w:val="0"/>
          <w:sz w:val="32"/>
          <w:szCs w:val="32"/>
        </w:rPr>
        <w:fldChar w:fldCharType="separate"/>
      </w:r>
      <w:r>
        <w:rPr>
          <w:rFonts w:ascii="仿宋_GB2312"/>
          <w:b w:val="0"/>
          <w:bCs w:val="0"/>
          <w:sz w:val="32"/>
          <w:szCs w:val="32"/>
        </w:rPr>
        <w:t>- 5 -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"_Toc103415881" </w:instrText>
      </w:r>
      <w:r>
        <w:fldChar w:fldCharType="separate"/>
      </w:r>
      <w:r>
        <w:rPr>
          <w:rStyle w:val="19"/>
          <w:rFonts w:hint="eastAsia" w:ascii="仿宋_GB2312"/>
          <w:sz w:val="32"/>
          <w:szCs w:val="32"/>
        </w:rPr>
        <w:t>（一） 绩效评价目的、对象和范围</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_Toc103415881 \h </w:instrText>
      </w:r>
      <w:r>
        <w:rPr>
          <w:rFonts w:hint="eastAsia" w:ascii="仿宋_GB2312"/>
          <w:sz w:val="32"/>
          <w:szCs w:val="32"/>
        </w:rPr>
        <w:fldChar w:fldCharType="separate"/>
      </w:r>
      <w:r>
        <w:rPr>
          <w:rFonts w:ascii="仿宋_GB2312"/>
          <w:sz w:val="32"/>
          <w:szCs w:val="32"/>
        </w:rPr>
        <w:t>- 5 -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"_Toc103415882" </w:instrText>
      </w:r>
      <w:r>
        <w:fldChar w:fldCharType="separate"/>
      </w:r>
      <w:r>
        <w:rPr>
          <w:rStyle w:val="19"/>
          <w:rFonts w:hint="eastAsia" w:ascii="仿宋_GB2312"/>
          <w:sz w:val="32"/>
          <w:szCs w:val="32"/>
        </w:rPr>
        <w:t>（二） 绩效评价原则和方法、评价指标体系</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_Toc103415882 \h </w:instrText>
      </w:r>
      <w:r>
        <w:rPr>
          <w:rFonts w:hint="eastAsia" w:ascii="仿宋_GB2312"/>
          <w:sz w:val="32"/>
          <w:szCs w:val="32"/>
        </w:rPr>
        <w:fldChar w:fldCharType="separate"/>
      </w:r>
      <w:r>
        <w:rPr>
          <w:rFonts w:ascii="仿宋_GB2312"/>
          <w:sz w:val="32"/>
          <w:szCs w:val="32"/>
        </w:rPr>
        <w:t>- 5 -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"_Toc103415883" </w:instrText>
      </w:r>
      <w:r>
        <w:fldChar w:fldCharType="separate"/>
      </w:r>
      <w:r>
        <w:rPr>
          <w:rStyle w:val="19"/>
          <w:rFonts w:hint="eastAsia" w:ascii="仿宋_GB2312"/>
          <w:sz w:val="32"/>
          <w:szCs w:val="32"/>
        </w:rPr>
        <w:t>（三） 绩效评价工作过程</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_Toc103415883 \h </w:instrText>
      </w:r>
      <w:r>
        <w:rPr>
          <w:rFonts w:hint="eastAsia" w:ascii="仿宋_GB2312"/>
          <w:sz w:val="32"/>
          <w:szCs w:val="32"/>
        </w:rPr>
        <w:fldChar w:fldCharType="separate"/>
      </w:r>
      <w:r>
        <w:rPr>
          <w:rFonts w:ascii="仿宋_GB2312"/>
          <w:sz w:val="32"/>
          <w:szCs w:val="32"/>
        </w:rPr>
        <w:t>- 7 -</w:t>
      </w:r>
      <w:r>
        <w:rPr>
          <w:rFonts w:hint="eastAsia" w:ascii="仿宋_GB2312"/>
          <w:sz w:val="32"/>
          <w:szCs w:val="32"/>
        </w:rPr>
        <w:fldChar w:fldCharType="end"/>
      </w:r>
      <w:r>
        <w:rPr>
          <w:rFonts w:hint="eastAsia" w:ascii="仿宋_GB2312"/>
          <w:sz w:val="32"/>
          <w:szCs w:val="32"/>
        </w:rPr>
        <w:fldChar w:fldCharType="end"/>
      </w:r>
    </w:p>
    <w:p>
      <w:pPr>
        <w:pStyle w:val="11"/>
        <w:snapToGrid w:val="0"/>
        <w:spacing w:before="0" w:after="0" w:line="600" w:lineRule="exact"/>
        <w:rPr>
          <w:rFonts w:ascii="仿宋_GB2312" w:cstheme="minorBidi"/>
          <w:b w:val="0"/>
          <w:bCs w:val="0"/>
          <w:caps w:val="0"/>
          <w:sz w:val="32"/>
          <w:szCs w:val="32"/>
        </w:rPr>
      </w:pPr>
      <w:r>
        <w:fldChar w:fldCharType="begin"/>
      </w:r>
      <w:r>
        <w:instrText xml:space="preserve"> HYPERLINK \l "_Toc103415884" </w:instrText>
      </w:r>
      <w:r>
        <w:fldChar w:fldCharType="separate"/>
      </w:r>
      <w:r>
        <w:rPr>
          <w:rStyle w:val="19"/>
          <w:rFonts w:hint="eastAsia" w:ascii="仿宋_GB2312"/>
          <w:b w:val="0"/>
          <w:bCs w:val="0"/>
          <w:sz w:val="32"/>
          <w:szCs w:val="32"/>
        </w:rPr>
        <w:t>三、 综合评价情况及评价结论</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_Toc103415884 \h </w:instrText>
      </w:r>
      <w:r>
        <w:rPr>
          <w:rFonts w:hint="eastAsia" w:ascii="仿宋_GB2312"/>
          <w:b w:val="0"/>
          <w:bCs w:val="0"/>
          <w:sz w:val="32"/>
          <w:szCs w:val="32"/>
        </w:rPr>
        <w:fldChar w:fldCharType="separate"/>
      </w:r>
      <w:r>
        <w:rPr>
          <w:rFonts w:ascii="仿宋_GB2312"/>
          <w:b w:val="0"/>
          <w:bCs w:val="0"/>
          <w:sz w:val="32"/>
          <w:szCs w:val="32"/>
        </w:rPr>
        <w:t>- 8 -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1"/>
        <w:snapToGrid w:val="0"/>
        <w:spacing w:before="0" w:after="0" w:line="600" w:lineRule="exact"/>
        <w:rPr>
          <w:rFonts w:ascii="仿宋_GB2312" w:cstheme="minorBidi"/>
          <w:b w:val="0"/>
          <w:bCs w:val="0"/>
          <w:caps w:val="0"/>
          <w:sz w:val="32"/>
          <w:szCs w:val="32"/>
        </w:rPr>
      </w:pPr>
      <w:r>
        <w:fldChar w:fldCharType="begin"/>
      </w:r>
      <w:r>
        <w:instrText xml:space="preserve"> HYPERLINK \l "_Toc103415885" </w:instrText>
      </w:r>
      <w:r>
        <w:fldChar w:fldCharType="separate"/>
      </w:r>
      <w:r>
        <w:rPr>
          <w:rStyle w:val="19"/>
          <w:rFonts w:hint="eastAsia" w:ascii="仿宋_GB2312"/>
          <w:b w:val="0"/>
          <w:bCs w:val="0"/>
          <w:sz w:val="32"/>
          <w:szCs w:val="32"/>
        </w:rPr>
        <w:t>四、 绩效评价指标分析</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_Toc103415885 \h </w:instrText>
      </w:r>
      <w:r>
        <w:rPr>
          <w:rFonts w:hint="eastAsia" w:ascii="仿宋_GB2312"/>
          <w:b w:val="0"/>
          <w:bCs w:val="0"/>
          <w:sz w:val="32"/>
          <w:szCs w:val="32"/>
        </w:rPr>
        <w:fldChar w:fldCharType="separate"/>
      </w:r>
      <w:r>
        <w:rPr>
          <w:rFonts w:ascii="仿宋_GB2312"/>
          <w:b w:val="0"/>
          <w:bCs w:val="0"/>
          <w:sz w:val="32"/>
          <w:szCs w:val="32"/>
        </w:rPr>
        <w:t>- 9 -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"_Toc103415886" </w:instrText>
      </w:r>
      <w:r>
        <w:fldChar w:fldCharType="separate"/>
      </w:r>
      <w:r>
        <w:rPr>
          <w:rStyle w:val="19"/>
          <w:rFonts w:hint="eastAsia" w:ascii="仿宋_GB2312"/>
          <w:sz w:val="32"/>
          <w:szCs w:val="32"/>
        </w:rPr>
        <w:t>（一） 项目决策情况</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_Toc103415886 \h </w:instrText>
      </w:r>
      <w:r>
        <w:rPr>
          <w:rFonts w:hint="eastAsia" w:ascii="仿宋_GB2312"/>
          <w:sz w:val="32"/>
          <w:szCs w:val="32"/>
        </w:rPr>
        <w:fldChar w:fldCharType="separate"/>
      </w:r>
      <w:r>
        <w:rPr>
          <w:rFonts w:ascii="仿宋_GB2312"/>
          <w:sz w:val="32"/>
          <w:szCs w:val="32"/>
        </w:rPr>
        <w:t>- 9 -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"_Toc103415887" </w:instrText>
      </w:r>
      <w:r>
        <w:fldChar w:fldCharType="separate"/>
      </w:r>
      <w:r>
        <w:rPr>
          <w:rStyle w:val="19"/>
          <w:rFonts w:hint="eastAsia" w:ascii="仿宋_GB2312"/>
          <w:sz w:val="32"/>
          <w:szCs w:val="32"/>
        </w:rPr>
        <w:t>（二） 项目过程情况</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_Toc103415887 \h </w:instrText>
      </w:r>
      <w:r>
        <w:rPr>
          <w:rFonts w:hint="eastAsia" w:ascii="仿宋_GB2312"/>
          <w:sz w:val="32"/>
          <w:szCs w:val="32"/>
        </w:rPr>
        <w:fldChar w:fldCharType="separate"/>
      </w:r>
      <w:r>
        <w:rPr>
          <w:rFonts w:ascii="仿宋_GB2312"/>
          <w:sz w:val="32"/>
          <w:szCs w:val="32"/>
        </w:rPr>
        <w:t>- 10 -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"_Toc103415888" </w:instrText>
      </w:r>
      <w:r>
        <w:fldChar w:fldCharType="separate"/>
      </w:r>
      <w:r>
        <w:rPr>
          <w:rStyle w:val="19"/>
          <w:rFonts w:hint="eastAsia" w:ascii="仿宋_GB2312"/>
          <w:sz w:val="32"/>
          <w:szCs w:val="32"/>
        </w:rPr>
        <w:t>（三） 项目产出情况</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_Toc103415888 \h </w:instrText>
      </w:r>
      <w:r>
        <w:rPr>
          <w:rFonts w:hint="eastAsia" w:ascii="仿宋_GB2312"/>
          <w:sz w:val="32"/>
          <w:szCs w:val="32"/>
        </w:rPr>
        <w:fldChar w:fldCharType="separate"/>
      </w:r>
      <w:r>
        <w:rPr>
          <w:rFonts w:ascii="仿宋_GB2312"/>
          <w:sz w:val="32"/>
          <w:szCs w:val="32"/>
        </w:rPr>
        <w:t>- 11 -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"_Toc103415889" </w:instrText>
      </w:r>
      <w:r>
        <w:fldChar w:fldCharType="separate"/>
      </w:r>
      <w:r>
        <w:rPr>
          <w:rStyle w:val="19"/>
          <w:rFonts w:hint="eastAsia" w:ascii="仿宋_GB2312"/>
          <w:sz w:val="32"/>
          <w:szCs w:val="32"/>
        </w:rPr>
        <w:t>（四） 项目效益情况</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_Toc103415889 \h </w:instrText>
      </w:r>
      <w:r>
        <w:rPr>
          <w:rFonts w:hint="eastAsia" w:ascii="仿宋_GB2312"/>
          <w:sz w:val="32"/>
          <w:szCs w:val="32"/>
        </w:rPr>
        <w:fldChar w:fldCharType="separate"/>
      </w:r>
      <w:r>
        <w:rPr>
          <w:rFonts w:ascii="仿宋_GB2312"/>
          <w:sz w:val="32"/>
          <w:szCs w:val="32"/>
        </w:rPr>
        <w:t>- 12 -</w:t>
      </w:r>
      <w:r>
        <w:rPr>
          <w:rFonts w:hint="eastAsia" w:ascii="仿宋_GB2312"/>
          <w:sz w:val="32"/>
          <w:szCs w:val="32"/>
        </w:rPr>
        <w:fldChar w:fldCharType="end"/>
      </w:r>
      <w:r>
        <w:rPr>
          <w:rFonts w:hint="eastAsia" w:ascii="仿宋_GB2312"/>
          <w:sz w:val="32"/>
          <w:szCs w:val="32"/>
        </w:rPr>
        <w:fldChar w:fldCharType="end"/>
      </w:r>
    </w:p>
    <w:p>
      <w:pPr>
        <w:pStyle w:val="11"/>
        <w:snapToGrid w:val="0"/>
        <w:spacing w:before="0" w:after="0" w:line="600" w:lineRule="exact"/>
        <w:rPr>
          <w:rFonts w:ascii="仿宋_GB2312" w:cstheme="minorBidi"/>
          <w:b w:val="0"/>
          <w:bCs w:val="0"/>
          <w:caps w:val="0"/>
          <w:sz w:val="32"/>
          <w:szCs w:val="32"/>
        </w:rPr>
      </w:pPr>
      <w:r>
        <w:fldChar w:fldCharType="begin"/>
      </w:r>
      <w:r>
        <w:instrText xml:space="preserve"> HYPERLINK \l "_Toc103415890" </w:instrText>
      </w:r>
      <w:r>
        <w:fldChar w:fldCharType="separate"/>
      </w:r>
      <w:r>
        <w:rPr>
          <w:rStyle w:val="19"/>
          <w:rFonts w:hint="eastAsia" w:ascii="仿宋_GB2312"/>
          <w:b w:val="0"/>
          <w:bCs w:val="0"/>
          <w:sz w:val="32"/>
          <w:szCs w:val="32"/>
        </w:rPr>
        <w:t>五、 主要经验及做法、存在的问题及原因分析</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_Toc103415890 \h </w:instrText>
      </w:r>
      <w:r>
        <w:rPr>
          <w:rFonts w:hint="eastAsia" w:ascii="仿宋_GB2312"/>
          <w:b w:val="0"/>
          <w:bCs w:val="0"/>
          <w:sz w:val="32"/>
          <w:szCs w:val="32"/>
        </w:rPr>
        <w:fldChar w:fldCharType="separate"/>
      </w:r>
      <w:r>
        <w:rPr>
          <w:rFonts w:ascii="仿宋_GB2312"/>
          <w:b w:val="0"/>
          <w:bCs w:val="0"/>
          <w:sz w:val="32"/>
          <w:szCs w:val="32"/>
        </w:rPr>
        <w:t>- 14 -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"_Toc103415891" </w:instrText>
      </w:r>
      <w:r>
        <w:fldChar w:fldCharType="separate"/>
      </w:r>
      <w:r>
        <w:rPr>
          <w:rStyle w:val="19"/>
          <w:rFonts w:hint="eastAsia" w:ascii="仿宋_GB2312"/>
          <w:sz w:val="32"/>
          <w:szCs w:val="32"/>
        </w:rPr>
        <w:t>（一） 主要经验及做法</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_Toc103415891 \h </w:instrText>
      </w:r>
      <w:r>
        <w:rPr>
          <w:rFonts w:hint="eastAsia" w:ascii="仿宋_GB2312"/>
          <w:sz w:val="32"/>
          <w:szCs w:val="32"/>
        </w:rPr>
        <w:fldChar w:fldCharType="separate"/>
      </w:r>
      <w:r>
        <w:rPr>
          <w:rFonts w:ascii="仿宋_GB2312"/>
          <w:sz w:val="32"/>
          <w:szCs w:val="32"/>
        </w:rPr>
        <w:t>- 14 -</w:t>
      </w:r>
      <w:r>
        <w:rPr>
          <w:rFonts w:hint="eastAsia" w:ascii="仿宋_GB2312"/>
          <w:sz w:val="32"/>
          <w:szCs w:val="32"/>
        </w:rPr>
        <w:fldChar w:fldCharType="end"/>
      </w:r>
      <w:r>
        <w:rPr>
          <w:rFonts w:hint="eastAsia" w:ascii="仿宋_GB2312"/>
          <w:sz w:val="32"/>
          <w:szCs w:val="32"/>
        </w:rPr>
        <w:fldChar w:fldCharType="end"/>
      </w:r>
    </w:p>
    <w:p>
      <w:pPr>
        <w:pStyle w:val="14"/>
        <w:tabs>
          <w:tab w:val="right" w:leader="dot" w:pos="8494"/>
        </w:tabs>
        <w:snapToGrid w:val="0"/>
        <w:spacing w:line="600" w:lineRule="exact"/>
        <w:ind w:firstLine="124" w:firstLineChars="62"/>
        <w:rPr>
          <w:rFonts w:ascii="仿宋_GB2312" w:cstheme="minorBidi"/>
          <w:smallCaps w:val="0"/>
          <w:sz w:val="32"/>
          <w:szCs w:val="32"/>
        </w:rPr>
      </w:pPr>
      <w:r>
        <w:fldChar w:fldCharType="begin"/>
      </w:r>
      <w:r>
        <w:instrText xml:space="preserve"> HYPERLINK \l "_Toc103415892" </w:instrText>
      </w:r>
      <w:r>
        <w:fldChar w:fldCharType="separate"/>
      </w:r>
      <w:r>
        <w:rPr>
          <w:rStyle w:val="19"/>
          <w:rFonts w:hint="eastAsia" w:ascii="仿宋_GB2312"/>
          <w:sz w:val="32"/>
          <w:szCs w:val="32"/>
        </w:rPr>
        <w:t>（二） 存在的问题及原因分析</w:t>
      </w:r>
      <w:r>
        <w:rPr>
          <w:rFonts w:hint="eastAsia" w:ascii="仿宋_GB2312"/>
          <w:sz w:val="32"/>
          <w:szCs w:val="32"/>
        </w:rPr>
        <w:tab/>
      </w:r>
      <w:r>
        <w:rPr>
          <w:rFonts w:hint="eastAsia" w:ascii="仿宋_GB2312"/>
          <w:sz w:val="32"/>
          <w:szCs w:val="32"/>
        </w:rPr>
        <w:fldChar w:fldCharType="begin"/>
      </w:r>
      <w:r>
        <w:rPr>
          <w:rFonts w:hint="eastAsia" w:ascii="仿宋_GB2312"/>
          <w:sz w:val="32"/>
          <w:szCs w:val="32"/>
        </w:rPr>
        <w:instrText xml:space="preserve"> PAGEREF _Toc103415892 \h </w:instrText>
      </w:r>
      <w:r>
        <w:rPr>
          <w:rFonts w:hint="eastAsia" w:ascii="仿宋_GB2312"/>
          <w:sz w:val="32"/>
          <w:szCs w:val="32"/>
        </w:rPr>
        <w:fldChar w:fldCharType="separate"/>
      </w:r>
      <w:r>
        <w:rPr>
          <w:rFonts w:ascii="仿宋_GB2312"/>
          <w:sz w:val="32"/>
          <w:szCs w:val="32"/>
        </w:rPr>
        <w:t>- 14 -</w:t>
      </w:r>
      <w:r>
        <w:rPr>
          <w:rFonts w:hint="eastAsia" w:ascii="仿宋_GB2312"/>
          <w:sz w:val="32"/>
          <w:szCs w:val="32"/>
        </w:rPr>
        <w:fldChar w:fldCharType="end"/>
      </w:r>
      <w:r>
        <w:rPr>
          <w:rFonts w:hint="eastAsia" w:ascii="仿宋_GB2312"/>
          <w:sz w:val="32"/>
          <w:szCs w:val="32"/>
        </w:rPr>
        <w:fldChar w:fldCharType="end"/>
      </w:r>
    </w:p>
    <w:p>
      <w:pPr>
        <w:pStyle w:val="11"/>
        <w:snapToGrid w:val="0"/>
        <w:spacing w:before="0" w:after="0" w:line="600" w:lineRule="exact"/>
        <w:rPr>
          <w:rFonts w:ascii="仿宋_GB2312" w:cstheme="minorBidi"/>
          <w:b w:val="0"/>
          <w:bCs w:val="0"/>
          <w:caps w:val="0"/>
          <w:sz w:val="32"/>
          <w:szCs w:val="32"/>
        </w:rPr>
      </w:pPr>
      <w:r>
        <w:fldChar w:fldCharType="begin"/>
      </w:r>
      <w:r>
        <w:instrText xml:space="preserve"> HYPERLINK \l "_Toc103415893" </w:instrText>
      </w:r>
      <w:r>
        <w:fldChar w:fldCharType="separate"/>
      </w:r>
      <w:r>
        <w:rPr>
          <w:rStyle w:val="19"/>
          <w:rFonts w:hint="eastAsia" w:ascii="仿宋_GB2312"/>
          <w:b w:val="0"/>
          <w:bCs w:val="0"/>
          <w:sz w:val="32"/>
          <w:szCs w:val="32"/>
        </w:rPr>
        <w:t>六、 有关建议</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_Toc103415893 \h </w:instrText>
      </w:r>
      <w:r>
        <w:rPr>
          <w:rFonts w:hint="eastAsia" w:ascii="仿宋_GB2312"/>
          <w:b w:val="0"/>
          <w:bCs w:val="0"/>
          <w:sz w:val="32"/>
          <w:szCs w:val="32"/>
        </w:rPr>
        <w:fldChar w:fldCharType="separate"/>
      </w:r>
      <w:r>
        <w:rPr>
          <w:rFonts w:ascii="仿宋_GB2312"/>
          <w:b w:val="0"/>
          <w:bCs w:val="0"/>
          <w:sz w:val="32"/>
          <w:szCs w:val="32"/>
        </w:rPr>
        <w:t>- 15 -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1"/>
        <w:snapToGrid w:val="0"/>
        <w:spacing w:before="0" w:after="0" w:line="600" w:lineRule="exact"/>
        <w:rPr>
          <w:rFonts w:ascii="仿宋_GB2312" w:cstheme="minorBidi"/>
          <w:b w:val="0"/>
          <w:bCs w:val="0"/>
          <w:caps w:val="0"/>
          <w:sz w:val="32"/>
          <w:szCs w:val="32"/>
        </w:rPr>
      </w:pPr>
      <w:r>
        <w:fldChar w:fldCharType="begin"/>
      </w:r>
      <w:r>
        <w:instrText xml:space="preserve"> HYPERLINK \l "_Toc103415894" </w:instrText>
      </w:r>
      <w:r>
        <w:fldChar w:fldCharType="separate"/>
      </w:r>
      <w:r>
        <w:rPr>
          <w:rStyle w:val="19"/>
          <w:rFonts w:hint="eastAsia" w:ascii="仿宋_GB2312"/>
          <w:b w:val="0"/>
          <w:bCs w:val="0"/>
          <w:sz w:val="32"/>
          <w:szCs w:val="32"/>
        </w:rPr>
        <w:t>七、 其他需要说明的问题</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_Toc103415894 \h </w:instrText>
      </w:r>
      <w:r>
        <w:rPr>
          <w:rFonts w:hint="eastAsia" w:ascii="仿宋_GB2312"/>
          <w:b w:val="0"/>
          <w:bCs w:val="0"/>
          <w:sz w:val="32"/>
          <w:szCs w:val="32"/>
        </w:rPr>
        <w:fldChar w:fldCharType="separate"/>
      </w:r>
      <w:r>
        <w:rPr>
          <w:rFonts w:ascii="仿宋_GB2312"/>
          <w:b w:val="0"/>
          <w:bCs w:val="0"/>
          <w:sz w:val="32"/>
          <w:szCs w:val="32"/>
        </w:rPr>
        <w:t>- 15 -</w:t>
      </w:r>
      <w:r>
        <w:rPr>
          <w:rFonts w:hint="eastAsia" w:ascii="仿宋_GB2312"/>
          <w:b w:val="0"/>
          <w:bCs w:val="0"/>
          <w:sz w:val="32"/>
          <w:szCs w:val="32"/>
        </w:rPr>
        <w:fldChar w:fldCharType="end"/>
      </w:r>
      <w:r>
        <w:rPr>
          <w:rFonts w:hint="eastAsia" w:ascii="仿宋_GB2312"/>
          <w:b w:val="0"/>
          <w:bCs w:val="0"/>
          <w:sz w:val="32"/>
          <w:szCs w:val="32"/>
        </w:rPr>
        <w:fldChar w:fldCharType="end"/>
      </w:r>
    </w:p>
    <w:p>
      <w:pPr>
        <w:pStyle w:val="11"/>
        <w:snapToGrid w:val="0"/>
        <w:spacing w:before="0" w:after="0" w:line="600" w:lineRule="exact"/>
        <w:rPr>
          <w:rFonts w:ascii="仿宋_GB2312" w:hAnsi="仿宋"/>
          <w:b w:val="0"/>
          <w:bCs w:val="0"/>
          <w:color w:val="000000"/>
          <w:sz w:val="32"/>
          <w:szCs w:val="32"/>
        </w:rPr>
      </w:pPr>
      <w:r>
        <w:fldChar w:fldCharType="begin"/>
      </w:r>
      <w:r>
        <w:instrText xml:space="preserve"> HYPERLINK \l "_Toc103415895" </w:instrText>
      </w:r>
      <w:r>
        <w:fldChar w:fldCharType="separate"/>
      </w:r>
      <w:r>
        <w:rPr>
          <w:rStyle w:val="19"/>
          <w:rFonts w:hint="eastAsia" w:ascii="仿宋_GB2312"/>
          <w:b w:val="0"/>
          <w:bCs w:val="0"/>
          <w:sz w:val="32"/>
          <w:szCs w:val="32"/>
        </w:rPr>
        <w:t>八、 附件</w:t>
      </w:r>
      <w:r>
        <w:rPr>
          <w:rFonts w:hint="eastAsia" w:ascii="仿宋_GB2312"/>
          <w:b w:val="0"/>
          <w:bCs w:val="0"/>
          <w:sz w:val="32"/>
          <w:szCs w:val="32"/>
        </w:rPr>
        <w:tab/>
      </w:r>
      <w:r>
        <w:rPr>
          <w:rFonts w:hint="eastAsia" w:ascii="仿宋_GB2312"/>
          <w:b w:val="0"/>
          <w:bCs w:val="0"/>
          <w:sz w:val="32"/>
          <w:szCs w:val="32"/>
        </w:rPr>
        <w:fldChar w:fldCharType="begin"/>
      </w:r>
      <w:r>
        <w:rPr>
          <w:rFonts w:hint="eastAsia" w:ascii="仿宋_GB2312"/>
          <w:b w:val="0"/>
          <w:bCs w:val="0"/>
          <w:sz w:val="32"/>
          <w:szCs w:val="32"/>
        </w:rPr>
        <w:instrText xml:space="preserve"> PAGEREF _Toc103415895 \h </w:instrText>
      </w:r>
      <w:r>
        <w:rPr>
          <w:rFonts w:hint="eastAsia" w:ascii="仿宋_GB2312"/>
          <w:b w:val="0"/>
          <w:bCs w:val="0"/>
          <w:sz w:val="32"/>
          <w:szCs w:val="32"/>
        </w:rPr>
        <w:fldChar w:fldCharType="separate"/>
      </w:r>
      <w:r>
        <w:rPr>
          <w:rFonts w:ascii="仿宋_GB2312"/>
          <w:b w:val="0"/>
          <w:bCs w:val="0"/>
          <w:sz w:val="32"/>
          <w:szCs w:val="32"/>
        </w:rPr>
        <w:t>- 16 -</w:t>
      </w:r>
      <w:r>
        <w:rPr>
          <w:rFonts w:hint="eastAsia" w:ascii="仿宋_GB2312"/>
          <w:b w:val="0"/>
          <w:bCs w:val="0"/>
          <w:sz w:val="32"/>
          <w:szCs w:val="32"/>
        </w:rPr>
        <w:fldChar w:fldCharType="end"/>
      </w:r>
      <w:r>
        <w:rPr>
          <w:rFonts w:hint="eastAsia" w:ascii="仿宋_GB2312"/>
          <w:b w:val="0"/>
          <w:bCs w:val="0"/>
          <w:sz w:val="32"/>
          <w:szCs w:val="32"/>
        </w:rPr>
        <w:fldChar w:fldCharType="end"/>
      </w:r>
      <w:r>
        <w:rPr>
          <w:rFonts w:hint="eastAsia" w:ascii="仿宋_GB2312" w:hAnsi="仿宋"/>
          <w:b w:val="0"/>
          <w:bCs w:val="0"/>
          <w:color w:val="000000"/>
          <w:sz w:val="32"/>
          <w:szCs w:val="32"/>
        </w:rPr>
        <w:fldChar w:fldCharType="end"/>
      </w:r>
    </w:p>
    <w:p>
      <w:pPr>
        <w:ind w:firstLine="800"/>
        <w:jc w:val="center"/>
        <w:rPr>
          <w:rFonts w:ascii="仿宋" w:hAnsi="仿宋" w:eastAsia="仿宋"/>
          <w:bCs/>
          <w:color w:val="000000"/>
          <w:sz w:val="40"/>
          <w:szCs w:val="40"/>
        </w:rPr>
      </w:pPr>
    </w:p>
    <w:p>
      <w:pPr>
        <w:ind w:firstLine="800"/>
        <w:jc w:val="center"/>
        <w:rPr>
          <w:rFonts w:ascii="仿宋" w:hAnsi="仿宋" w:eastAsia="仿宋"/>
          <w:bCs/>
          <w:color w:val="000000"/>
          <w:sz w:val="40"/>
          <w:szCs w:val="40"/>
        </w:rPr>
        <w:sectPr>
          <w:pgSz w:w="11906" w:h="16838"/>
          <w:pgMar w:top="1474" w:right="1701" w:bottom="1418" w:left="1701" w:header="851" w:footer="992" w:gutter="0"/>
          <w:pgNumType w:fmt="numberInDash" w:start="1"/>
          <w:cols w:space="425" w:num="1"/>
          <w:docGrid w:type="lines" w:linePitch="312" w:charSpace="0"/>
        </w:sectPr>
      </w:pPr>
    </w:p>
    <w:p>
      <w:pPr>
        <w:spacing w:before="0" w:after="0"/>
        <w:ind w:firstLine="0" w:firstLineChars="0"/>
        <w:jc w:val="center"/>
        <w:rPr>
          <w:rFonts w:ascii="方正小标宋简体" w:eastAsia="方正小标宋简体"/>
          <w:sz w:val="36"/>
          <w:szCs w:val="36"/>
        </w:rPr>
      </w:pPr>
      <w:r>
        <w:rPr>
          <w:rFonts w:hint="eastAsia" w:ascii="方正小标宋简体" w:eastAsia="方正小标宋简体"/>
          <w:sz w:val="36"/>
          <w:szCs w:val="36"/>
        </w:rPr>
        <w:t>北京市思想政治工作研究会</w:t>
      </w:r>
    </w:p>
    <w:p>
      <w:pPr>
        <w:spacing w:before="0" w:after="0"/>
        <w:ind w:firstLine="0" w:firstLineChars="0"/>
        <w:jc w:val="center"/>
        <w:rPr>
          <w:rFonts w:ascii="方正小标宋简体" w:eastAsia="方正小标宋简体"/>
          <w:sz w:val="36"/>
          <w:szCs w:val="36"/>
        </w:rPr>
      </w:pPr>
      <w:r>
        <w:rPr>
          <w:rFonts w:hint="eastAsia" w:ascii="方正小标宋简体" w:eastAsia="方正小标宋简体"/>
          <w:sz w:val="36"/>
          <w:szCs w:val="36"/>
        </w:rPr>
        <w:t>网络信息化综合运维服务</w:t>
      </w:r>
    </w:p>
    <w:p>
      <w:pPr>
        <w:spacing w:before="0" w:after="0"/>
        <w:ind w:firstLine="0" w:firstLineChars="0"/>
        <w:jc w:val="center"/>
        <w:rPr>
          <w:rFonts w:ascii="方正小标宋简体" w:eastAsia="方正小标宋简体"/>
          <w:sz w:val="36"/>
          <w:szCs w:val="36"/>
        </w:rPr>
      </w:pPr>
      <w:r>
        <w:rPr>
          <w:rFonts w:hint="eastAsia" w:ascii="方正小标宋简体" w:eastAsia="方正小标宋简体"/>
          <w:sz w:val="36"/>
          <w:szCs w:val="36"/>
        </w:rPr>
        <w:t>项目支出绩效评价报告</w:t>
      </w:r>
    </w:p>
    <w:p>
      <w:pPr>
        <w:ind w:firstLine="640"/>
        <w:rPr>
          <w:rFonts w:ascii="仿宋" w:hAnsi="仿宋" w:eastAsia="仿宋"/>
        </w:rPr>
      </w:pPr>
    </w:p>
    <w:p>
      <w:pPr>
        <w:pStyle w:val="3"/>
        <w:ind w:firstLine="640"/>
      </w:pPr>
      <w:r>
        <w:rPr>
          <w:rFonts w:hint="eastAsia"/>
        </w:rPr>
        <w:t>为深化全过程预算绩效管理，促进预算部门提高成本绩效意识，提高预算执行效率和资金使用效益，根据《中共北京市委北京市人民政府关于全面实施预算绩效管理的实施意见》（京发〔2019〕12号）和</w:t>
      </w:r>
      <w:r>
        <w:t>北京市</w:t>
      </w:r>
      <w:r>
        <w:rPr>
          <w:rFonts w:hint="eastAsia"/>
        </w:rPr>
        <w:t>财政局《关于开展2</w:t>
      </w:r>
      <w:r>
        <w:t>022</w:t>
      </w:r>
      <w:r>
        <w:rPr>
          <w:rFonts w:hint="eastAsia"/>
        </w:rPr>
        <w:t>年全面预算绩效管理工作的通知》</w:t>
      </w:r>
      <w:r>
        <w:t>（</w:t>
      </w:r>
      <w:r>
        <w:rPr>
          <w:rFonts w:hint="eastAsia"/>
        </w:rPr>
        <w:t>京财绩效</w:t>
      </w:r>
      <w:r>
        <w:t>〔2022〕</w:t>
      </w:r>
      <w:r>
        <w:rPr>
          <w:rFonts w:hint="eastAsia"/>
        </w:rPr>
        <w:t>6</w:t>
      </w:r>
      <w:r>
        <w:t>69号）</w:t>
      </w:r>
      <w:r>
        <w:rPr>
          <w:rFonts w:hint="eastAsia"/>
        </w:rPr>
        <w:t>的</w:t>
      </w:r>
      <w:r>
        <w:t>要求</w:t>
      </w:r>
      <w:r>
        <w:rPr>
          <w:rFonts w:hint="eastAsia"/>
        </w:rPr>
        <w:t>，</w:t>
      </w:r>
      <w:bookmarkStart w:id="5" w:name="_Hlk103695093"/>
      <w:r>
        <w:rPr>
          <w:rFonts w:hint="eastAsia"/>
        </w:rPr>
        <w:t>北京市思想政治工作研究会</w:t>
      </w:r>
      <w:bookmarkEnd w:id="5"/>
      <w:r>
        <w:t>（以下简称“</w:t>
      </w:r>
      <w:r>
        <w:rPr>
          <w:rFonts w:cs="仿宋_GB2312"/>
        </w:rPr>
        <w:t>市政研会</w:t>
      </w:r>
      <w:r>
        <w:t>”）</w:t>
      </w:r>
      <w:r>
        <w:rPr>
          <w:rFonts w:hint="eastAsia"/>
        </w:rPr>
        <w:t>组织人员</w:t>
      </w:r>
      <w:r>
        <w:t>对</w:t>
      </w:r>
      <w:r>
        <w:rPr>
          <w:rFonts w:hint="eastAsia"/>
        </w:rPr>
        <w:t>网络信息化综合运维服务</w:t>
      </w:r>
      <w:r>
        <w:t>项目</w:t>
      </w:r>
      <w:r>
        <w:rPr>
          <w:rFonts w:hint="eastAsia"/>
        </w:rPr>
        <w:t>进行</w:t>
      </w:r>
      <w:r>
        <w:t>了</w:t>
      </w:r>
      <w:r>
        <w:rPr>
          <w:rFonts w:hint="eastAsia"/>
        </w:rPr>
        <w:t>绩效评价。</w:t>
      </w:r>
    </w:p>
    <w:p>
      <w:pPr>
        <w:pStyle w:val="3"/>
        <w:ind w:firstLine="640"/>
      </w:pPr>
      <w:r>
        <w:rPr>
          <w:rFonts w:hint="eastAsia"/>
        </w:rPr>
        <w:t>该项目综合评价得分</w:t>
      </w:r>
      <w:r>
        <w:t>91.00</w:t>
      </w:r>
      <w:r>
        <w:rPr>
          <w:rFonts w:hint="eastAsia"/>
        </w:rPr>
        <w:t>分，评价等级为“优秀”。本次</w:t>
      </w:r>
      <w:r>
        <w:t>绩效评价</w:t>
      </w:r>
      <w:r>
        <w:rPr>
          <w:rFonts w:hint="eastAsia"/>
        </w:rPr>
        <w:t>情况</w:t>
      </w:r>
      <w:r>
        <w:t>报告如下：</w:t>
      </w:r>
    </w:p>
    <w:p>
      <w:pPr>
        <w:pStyle w:val="2"/>
        <w:ind w:firstLine="643"/>
      </w:pPr>
      <w:bookmarkStart w:id="6" w:name="_Toc103415877"/>
      <w:r>
        <w:t>基本情</w:t>
      </w:r>
      <w:r>
        <w:rPr>
          <w:rFonts w:hint="eastAsia" w:ascii="微软雅黑" w:hAnsi="微软雅黑" w:eastAsia="微软雅黑" w:cs="微软雅黑"/>
        </w:rPr>
        <w:t>况</w:t>
      </w:r>
      <w:bookmarkEnd w:id="6"/>
    </w:p>
    <w:p>
      <w:pPr>
        <w:pStyle w:val="4"/>
        <w:ind w:left="0" w:leftChars="0" w:firstLine="640" w:firstLineChars="0"/>
      </w:pPr>
      <w:bookmarkStart w:id="7" w:name="_Toc103415878"/>
      <w:r>
        <w:t>项目概况</w:t>
      </w:r>
      <w:bookmarkEnd w:id="7"/>
    </w:p>
    <w:p>
      <w:pPr>
        <w:pStyle w:val="3"/>
        <w:ind w:firstLine="640"/>
      </w:pPr>
      <w:r>
        <w:rPr>
          <w:rFonts w:hint="eastAsia"/>
        </w:rPr>
        <w:t>1、项目立项背景</w:t>
      </w:r>
    </w:p>
    <w:p>
      <w:pPr>
        <w:pStyle w:val="3"/>
        <w:ind w:firstLine="640"/>
      </w:pPr>
      <w:r>
        <w:rPr>
          <w:rFonts w:hint="eastAsia"/>
        </w:rPr>
        <w:t>市政研会核心机房现有光纤接入设备、数据交换机、服务器、防火墙设备、UPS电源等设备老化程度严重，故障率较高；并且现有办公台式电脑使用时间大多超过厂商提供的免费质保期但未到报废年限，办公电脑故障频发，且无专用维修资金进行设备配件的维修、更换，设备使用不畅，严重影响日常办公效率。</w:t>
      </w:r>
    </w:p>
    <w:p>
      <w:pPr>
        <w:pStyle w:val="3"/>
        <w:ind w:firstLine="640"/>
      </w:pPr>
      <w:r>
        <w:rPr>
          <w:rFonts w:hint="eastAsia"/>
        </w:rPr>
        <w:t>随着市政研会业务系统的增加和网络使用频率的提升，对网络的安全和通畅有了更高的要求。为了保障日常机关办公网络、计算机和业务系统的安全稳定运行，聘用专业运维机构和人员针对市政研会核心机房网络系统、安全系统、动力系统进行定期运维和事故处置，针对办公计算机单机系统进行技术支持、故障维修、配件更换，故申请网络信息化综合运维项目经费。</w:t>
      </w:r>
    </w:p>
    <w:p>
      <w:pPr>
        <w:pStyle w:val="3"/>
        <w:ind w:firstLine="640"/>
      </w:pPr>
      <w:r>
        <w:rPr>
          <w:rFonts w:hint="eastAsia"/>
        </w:rPr>
        <w:t>该项目实施主体为北京市思想政治工作研究会，具体由研究部负责组织实施。</w:t>
      </w:r>
    </w:p>
    <w:p>
      <w:pPr>
        <w:pStyle w:val="3"/>
        <w:ind w:firstLine="640"/>
      </w:pPr>
      <w:r>
        <w:rPr>
          <w:rFonts w:hint="eastAsia"/>
        </w:rPr>
        <w:t>2、</w:t>
      </w:r>
      <w:r>
        <w:t>项目主要内容</w:t>
      </w:r>
    </w:p>
    <w:p>
      <w:pPr>
        <w:pStyle w:val="3"/>
        <w:ind w:firstLine="640"/>
      </w:pPr>
      <w:r>
        <w:rPr>
          <w:rFonts w:hint="eastAsia"/>
        </w:rPr>
        <w:t>项目主要内容为对机房和机关办公电脑等基础设备实施运维服务，主要包括日常保养维护、安全检查服务、安全应急响应、单机环境运维。具体内容如下：</w:t>
      </w:r>
    </w:p>
    <w:p>
      <w:pPr>
        <w:pStyle w:val="3"/>
        <w:ind w:firstLine="640"/>
      </w:pPr>
      <w:r>
        <w:rPr>
          <w:rFonts w:hint="eastAsia"/>
        </w:rPr>
        <w:t>（1）日常保养维护</w:t>
      </w:r>
    </w:p>
    <w:p>
      <w:pPr>
        <w:pStyle w:val="3"/>
        <w:ind w:firstLine="640"/>
      </w:pPr>
      <w:r>
        <w:rPr>
          <w:rFonts w:hint="eastAsia"/>
        </w:rPr>
        <w:t>定期对核心机房设备清洁，保障机房环境整洁；定期进行数据记录；定期主动对机房网络系统进行检查、检测；定期对单机设备进行巡查、检测、调试，更换或维修易损件；保障机关工作人员正常办公。</w:t>
      </w:r>
    </w:p>
    <w:p>
      <w:pPr>
        <w:pStyle w:val="3"/>
        <w:ind w:firstLine="640"/>
      </w:pPr>
      <w:r>
        <w:rPr>
          <w:rFonts w:hint="eastAsia"/>
        </w:rPr>
        <w:t>（2）安全检查服务</w:t>
      </w:r>
    </w:p>
    <w:p>
      <w:pPr>
        <w:pStyle w:val="3"/>
        <w:ind w:firstLine="640"/>
      </w:pPr>
      <w:r>
        <w:rPr>
          <w:rFonts w:hint="eastAsia"/>
        </w:rPr>
        <w:t>聘请专业检查人员每月</w:t>
      </w:r>
      <w:r>
        <w:t>2</w:t>
      </w:r>
      <w:r>
        <w:rPr>
          <w:rFonts w:hint="eastAsia"/>
        </w:rPr>
        <w:t>次对机房安全系统和核心动力系统进行安全和性能的例行检查。</w:t>
      </w:r>
    </w:p>
    <w:p>
      <w:pPr>
        <w:pStyle w:val="3"/>
        <w:ind w:firstLine="640"/>
      </w:pPr>
      <w:r>
        <w:rPr>
          <w:rFonts w:hint="eastAsia"/>
        </w:rPr>
        <w:t>（3）安全应急响应</w:t>
      </w:r>
    </w:p>
    <w:p>
      <w:pPr>
        <w:pStyle w:val="3"/>
        <w:ind w:firstLine="640"/>
      </w:pPr>
      <w:r>
        <w:rPr>
          <w:rFonts w:hint="eastAsia"/>
        </w:rPr>
        <w:t>当出现紧急事件时联系专业应急处置人员，提供现场应急处置服务，并对安全事件进行分析，形成分析报告。</w:t>
      </w:r>
    </w:p>
    <w:p>
      <w:pPr>
        <w:pStyle w:val="3"/>
        <w:ind w:firstLine="640"/>
      </w:pPr>
      <w:r>
        <w:rPr>
          <w:rFonts w:hint="eastAsia"/>
        </w:rPr>
        <w:t>（4）单机环境运维</w:t>
      </w:r>
    </w:p>
    <w:p>
      <w:pPr>
        <w:pStyle w:val="3"/>
        <w:ind w:firstLine="640"/>
      </w:pPr>
      <w:r>
        <w:rPr>
          <w:rFonts w:hint="eastAsia"/>
        </w:rPr>
        <w:t>针对机关办公用电脑进行日常运维、软硬件检查、安全隐患排查，解决电脑相关的软硬件故障和安全问题。</w:t>
      </w:r>
    </w:p>
    <w:p>
      <w:pPr>
        <w:pStyle w:val="3"/>
        <w:ind w:firstLine="640"/>
      </w:pPr>
      <w:r>
        <w:rPr>
          <w:rFonts w:hint="eastAsia"/>
        </w:rPr>
        <w:t>3、项目实施情况</w:t>
      </w:r>
    </w:p>
    <w:p>
      <w:pPr>
        <w:pStyle w:val="3"/>
        <w:ind w:firstLine="640"/>
      </w:pPr>
      <w:r>
        <w:rPr>
          <w:rFonts w:hint="eastAsia"/>
        </w:rPr>
        <w:t>网络信息化综合运维项目为延续性项目，由北京国信桥通信工程有限公司提供运维服务，本次合同有效期限为2021年8月1日至2022年7月31日；费用合计132</w:t>
      </w:r>
      <w:r>
        <w:t>,</w:t>
      </w:r>
      <w:r>
        <w:rPr>
          <w:rFonts w:hint="eastAsia"/>
        </w:rPr>
        <w:t>320</w:t>
      </w:r>
      <w:r>
        <w:t>.00</w:t>
      </w:r>
      <w:r>
        <w:rPr>
          <w:rFonts w:hint="eastAsia"/>
        </w:rPr>
        <w:t>元，其中：网络系统运维费用3</w:t>
      </w:r>
      <w:r>
        <w:t>.</w:t>
      </w:r>
      <w:r>
        <w:rPr>
          <w:rFonts w:hint="eastAsia"/>
        </w:rPr>
        <w:t>984万元，安全系统运维费用4</w:t>
      </w:r>
      <w:r>
        <w:t>.</w:t>
      </w:r>
      <w:r>
        <w:rPr>
          <w:rFonts w:hint="eastAsia"/>
        </w:rPr>
        <w:t>656万元，动力环境系统运维费用2</w:t>
      </w:r>
      <w:r>
        <w:t>.</w:t>
      </w:r>
      <w:r>
        <w:rPr>
          <w:rFonts w:hint="eastAsia"/>
        </w:rPr>
        <w:t>25万元，单机系统运维费用2</w:t>
      </w:r>
      <w:r>
        <w:t>.</w:t>
      </w:r>
      <w:r>
        <w:rPr>
          <w:rFonts w:hint="eastAsia"/>
        </w:rPr>
        <w:t>342万元。</w:t>
      </w:r>
    </w:p>
    <w:p>
      <w:pPr>
        <w:pStyle w:val="3"/>
        <w:ind w:firstLine="640"/>
      </w:pPr>
      <w:r>
        <w:rPr>
          <w:rFonts w:hint="eastAsia"/>
        </w:rPr>
        <w:t>合同要求：（1）维护团队工程师每两周进行一次现场例行检查（以市政研会要求为准），为用户维护软件系统、硬件设备；（2）每季一次对设备的运行状况分析；提供本项目设备运行状态和性能的分析、评估服务，以提高设备的可靠性、可用性和整体性能；（3）每年一次向用户提交详细的设备可用性、安全性、运行状况分析等预防性维护策略、报告和总结。</w:t>
      </w:r>
    </w:p>
    <w:p>
      <w:pPr>
        <w:pStyle w:val="3"/>
        <w:ind w:firstLine="640"/>
      </w:pPr>
      <w:r>
        <w:t>4</w:t>
      </w:r>
      <w:r>
        <w:rPr>
          <w:rFonts w:hint="eastAsia"/>
        </w:rPr>
        <w:t>、项目资金的投入及使用</w:t>
      </w:r>
    </w:p>
    <w:p>
      <w:pPr>
        <w:pStyle w:val="3"/>
        <w:ind w:firstLine="640"/>
      </w:pPr>
      <w:r>
        <w:rPr>
          <w:rFonts w:hint="eastAsia"/>
        </w:rPr>
        <w:t>网络信息化综合运维项目于2</w:t>
      </w:r>
      <w:r>
        <w:t>020</w:t>
      </w:r>
      <w:r>
        <w:rPr>
          <w:rFonts w:hint="eastAsia"/>
        </w:rPr>
        <w:t>年1</w:t>
      </w:r>
      <w:r>
        <w:t>0</w:t>
      </w:r>
      <w:r>
        <w:rPr>
          <w:rFonts w:hint="eastAsia"/>
        </w:rPr>
        <w:t>月申报预算，经北京市财政局批复项目预算资金</w:t>
      </w:r>
      <w:r>
        <w:t>132,320.00</w:t>
      </w:r>
      <w:r>
        <w:rPr>
          <w:rFonts w:hint="eastAsia"/>
        </w:rPr>
        <w:t>元，2</w:t>
      </w:r>
      <w:r>
        <w:t>021</w:t>
      </w:r>
      <w:r>
        <w:rPr>
          <w:rFonts w:hint="eastAsia"/>
        </w:rPr>
        <w:t>年实际到位项目资金</w:t>
      </w:r>
      <w:r>
        <w:t>132,320.00</w:t>
      </w:r>
      <w:r>
        <w:rPr>
          <w:rFonts w:hint="eastAsia"/>
        </w:rPr>
        <w:t>元，全部为财政资金，资金到位率1</w:t>
      </w:r>
      <w:r>
        <w:t>00.00</w:t>
      </w:r>
      <w:r>
        <w:rPr>
          <w:rFonts w:hint="eastAsia"/>
        </w:rPr>
        <w:t>%；预算明细包括：网络系统运维费4.212万元、安全系统运维费4.416万元、动力环境系统运维费2.208万元和单机系统运维费2.396万元。</w:t>
      </w:r>
    </w:p>
    <w:p>
      <w:pPr>
        <w:pStyle w:val="3"/>
        <w:ind w:firstLine="640"/>
      </w:pPr>
      <w:r>
        <w:rPr>
          <w:rFonts w:hint="eastAsia"/>
        </w:rPr>
        <w:t>截止2</w:t>
      </w:r>
      <w:r>
        <w:t>021</w:t>
      </w:r>
      <w:r>
        <w:rPr>
          <w:rFonts w:hint="eastAsia"/>
        </w:rPr>
        <w:t>年1</w:t>
      </w:r>
      <w:r>
        <w:t>2</w:t>
      </w:r>
      <w:r>
        <w:rPr>
          <w:rFonts w:hint="eastAsia"/>
        </w:rPr>
        <w:t>月3</w:t>
      </w:r>
      <w:r>
        <w:t>1</w:t>
      </w:r>
      <w:r>
        <w:rPr>
          <w:rFonts w:hint="eastAsia"/>
        </w:rPr>
        <w:t>日，项目资金实际支出</w:t>
      </w:r>
      <w:r>
        <w:t>132,320.00</w:t>
      </w:r>
      <w:r>
        <w:rPr>
          <w:rFonts w:hint="eastAsia"/>
        </w:rPr>
        <w:t>元，其中：支出运维服务费</w:t>
      </w:r>
      <w:r>
        <w:t>132,320.00</w:t>
      </w:r>
      <w:r>
        <w:rPr>
          <w:rFonts w:hint="eastAsia"/>
        </w:rPr>
        <w:t>元，预算执行率</w:t>
      </w:r>
      <w:r>
        <w:t>100.00</w:t>
      </w:r>
      <w:r>
        <w:rPr>
          <w:rFonts w:hint="eastAsia"/>
        </w:rPr>
        <w:t>%。</w:t>
      </w:r>
    </w:p>
    <w:p>
      <w:pPr>
        <w:pStyle w:val="4"/>
        <w:ind w:left="0" w:leftChars="0" w:firstLine="640" w:firstLineChars="0"/>
      </w:pPr>
      <w:bookmarkStart w:id="8" w:name="_Toc103415879"/>
      <w:r>
        <w:t>项目绩效目标</w:t>
      </w:r>
      <w:bookmarkEnd w:id="8"/>
    </w:p>
    <w:p>
      <w:pPr>
        <w:pStyle w:val="3"/>
        <w:ind w:firstLine="640"/>
      </w:pPr>
      <w:r>
        <w:rPr>
          <w:rFonts w:hint="eastAsia"/>
        </w:rPr>
        <w:t>1、项目绩效总体目标</w:t>
      </w:r>
    </w:p>
    <w:p>
      <w:pPr>
        <w:pStyle w:val="3"/>
        <w:ind w:firstLine="640"/>
      </w:pPr>
      <w:r>
        <w:rPr>
          <w:rFonts w:hint="eastAsia"/>
        </w:rPr>
        <w:t>根据市政研会机关核心机房信息化设备和办公用计算机运维工作需求，对核心机房信息化设备和办公用计算机进行日常运维，包括网络系统运维服务、安全系统运维服务、动力系统运维服务、单机系统运维服务等。通过专业的运维服务保障2021年北京市思想政治工作研究会核心机房和办公用计算机的安全、稳定运行。</w:t>
      </w:r>
    </w:p>
    <w:p>
      <w:pPr>
        <w:pStyle w:val="3"/>
        <w:ind w:firstLine="640"/>
      </w:pPr>
      <w:r>
        <w:rPr>
          <w:rFonts w:hint="eastAsia"/>
        </w:rPr>
        <w:t>2、项目绩效</w:t>
      </w:r>
      <w:r>
        <w:t>阶段性目标</w:t>
      </w:r>
    </w:p>
    <w:p>
      <w:pPr>
        <w:pStyle w:val="3"/>
        <w:ind w:firstLine="640"/>
      </w:pPr>
      <w:r>
        <w:rPr>
          <w:rFonts w:hint="eastAsia"/>
        </w:rPr>
        <w:t>每月两次对核心机房网络系统、核心机房安全系统以及核心机房动力系统进行检查和必要的调试、维护，对办公计算机单机系统进行检查和必要的调试、维护。每个季度对网络设备及系统、计算机终端进行维护，并且对设备运行情况、运维工作进行汇报，出具季度报告。</w:t>
      </w:r>
    </w:p>
    <w:p>
      <w:pPr>
        <w:pStyle w:val="2"/>
        <w:ind w:firstLine="643"/>
      </w:pPr>
      <w:bookmarkStart w:id="9" w:name="_Toc103415880"/>
      <w:r>
        <w:t>绩效评价工作开展情况</w:t>
      </w:r>
      <w:bookmarkEnd w:id="9"/>
    </w:p>
    <w:p>
      <w:pPr>
        <w:pStyle w:val="4"/>
        <w:ind w:left="0" w:leftChars="0" w:firstLine="640" w:firstLineChars="0"/>
      </w:pPr>
      <w:bookmarkStart w:id="10" w:name="_Toc103415881"/>
      <w:r>
        <w:rPr>
          <w:rFonts w:hint="eastAsia"/>
        </w:rPr>
        <w:t>绩效评价目的、对象和范围</w:t>
      </w:r>
      <w:bookmarkEnd w:id="10"/>
    </w:p>
    <w:p>
      <w:pPr>
        <w:pStyle w:val="3"/>
        <w:ind w:firstLine="640"/>
      </w:pPr>
      <w:r>
        <w:rPr>
          <w:rFonts w:hint="eastAsia"/>
        </w:rPr>
        <w:t>1、绩效评价的目的</w:t>
      </w:r>
    </w:p>
    <w:p>
      <w:pPr>
        <w:pStyle w:val="3"/>
        <w:ind w:firstLine="640"/>
      </w:pPr>
      <w:r>
        <w:rPr>
          <w:rFonts w:hint="eastAsia"/>
        </w:rPr>
        <w:t>市政研会网络信息化综合运维项目围绕项目决策、过程、产出及效益情况开展绩效评价，了解项目资金申请拨付以及使用情况，了解项目绩效的产出与效益情况；客观核实项目预期目标实现情况，及时总结经验，分析存在问题及原因，采取相应措施，提高财政资金的使用效益，为财政资金投入的科学性、安全性、规范性与效益性提供保障。</w:t>
      </w:r>
    </w:p>
    <w:p>
      <w:pPr>
        <w:pStyle w:val="3"/>
        <w:ind w:firstLine="640"/>
      </w:pPr>
      <w:r>
        <w:rPr>
          <w:rFonts w:hint="eastAsia"/>
        </w:rPr>
        <w:t>2、绩效评价的对象</w:t>
      </w:r>
    </w:p>
    <w:p>
      <w:pPr>
        <w:pStyle w:val="3"/>
        <w:ind w:firstLine="640"/>
      </w:pPr>
      <w:r>
        <w:rPr>
          <w:rFonts w:hint="eastAsia"/>
        </w:rPr>
        <w:t>北京市思想政治工作研究会网络信息化综合运维服务项目资金使用绩效。</w:t>
      </w:r>
    </w:p>
    <w:p>
      <w:pPr>
        <w:pStyle w:val="3"/>
        <w:ind w:firstLine="640"/>
      </w:pPr>
      <w:r>
        <w:rPr>
          <w:rFonts w:hint="eastAsia"/>
        </w:rPr>
        <w:t>3、绩效评价的范围</w:t>
      </w:r>
    </w:p>
    <w:p>
      <w:pPr>
        <w:pStyle w:val="3"/>
        <w:ind w:firstLine="640"/>
      </w:pPr>
      <w:r>
        <w:rPr>
          <w:rFonts w:hint="eastAsia"/>
        </w:rPr>
        <w:t>北京市思想政治工作研究会网络信息化综合运维服务项目预算资金</w:t>
      </w:r>
      <w:r>
        <w:t>132,320.00</w:t>
      </w:r>
      <w:r>
        <w:rPr>
          <w:rFonts w:hint="eastAsia"/>
        </w:rPr>
        <w:t>元，其中：运维服务费132,320.00元。主要范围为评价项目资金的使用、管理情况，项目申报、实施、完成情况以及项目实施的效益、服务对象满意程度等；评价项目时段为202</w:t>
      </w:r>
      <w:r>
        <w:t>1</w:t>
      </w:r>
      <w:r>
        <w:rPr>
          <w:rFonts w:hint="eastAsia"/>
        </w:rPr>
        <w:t>年1月1日至202</w:t>
      </w:r>
      <w:r>
        <w:t>1</w:t>
      </w:r>
      <w:r>
        <w:rPr>
          <w:rFonts w:hint="eastAsia"/>
        </w:rPr>
        <w:t>年12月31日。</w:t>
      </w:r>
    </w:p>
    <w:p>
      <w:pPr>
        <w:pStyle w:val="4"/>
        <w:ind w:left="0" w:leftChars="0" w:firstLine="640" w:firstLineChars="0"/>
      </w:pPr>
      <w:bookmarkStart w:id="11" w:name="_Toc103415882"/>
      <w:r>
        <w:t>绩效评价原则</w:t>
      </w:r>
      <w:r>
        <w:rPr>
          <w:rFonts w:hint="eastAsia"/>
        </w:rPr>
        <w:t>和方法、</w:t>
      </w:r>
      <w:r>
        <w:t>评价指标体系</w:t>
      </w:r>
      <w:bookmarkEnd w:id="11"/>
    </w:p>
    <w:p>
      <w:pPr>
        <w:pStyle w:val="3"/>
        <w:ind w:firstLine="640"/>
      </w:pPr>
      <w:r>
        <w:rPr>
          <w:rFonts w:hint="eastAsia"/>
        </w:rPr>
        <w:t>1、评价原则和方法</w:t>
      </w:r>
    </w:p>
    <w:p>
      <w:pPr>
        <w:pStyle w:val="3"/>
        <w:ind w:firstLine="640"/>
      </w:pPr>
      <w:r>
        <w:rPr>
          <w:rFonts w:hint="eastAsia"/>
        </w:rPr>
        <w:t>本次评价坚持问题导向、系统评价、科学客观、讲求绩效的原则，采用全面评价和重点评价相结合、现场评价和非现场评价相结合、定性分析与定量分析相结合的方式，运用案卷研究、专家咨询、座谈访谈等方法，对项目决策、过程、产出、效益四方面进行综合评价。</w:t>
      </w:r>
    </w:p>
    <w:p>
      <w:pPr>
        <w:pStyle w:val="3"/>
        <w:ind w:firstLine="640"/>
      </w:pPr>
      <w:r>
        <w:rPr>
          <w:rFonts w:hint="eastAsia"/>
        </w:rPr>
        <w:t>2、评价指标体系</w:t>
      </w:r>
    </w:p>
    <w:p>
      <w:pPr>
        <w:pStyle w:val="3"/>
        <w:ind w:firstLine="640"/>
      </w:pPr>
      <w:r>
        <w:rPr>
          <w:rFonts w:hint="eastAsia"/>
        </w:rPr>
        <w:t>本次评价指标体系根据《项目支出绩效评价管理办法》（财预〔2020〕10 号）、北京市财政局关于印发《北京市项目支出绩效评价管理办法》的通知（京财绩效〔2020〕2146号）、</w:t>
      </w:r>
      <w:r>
        <w:t>北京市</w:t>
      </w:r>
      <w:r>
        <w:rPr>
          <w:rFonts w:hint="eastAsia"/>
        </w:rPr>
        <w:t>财政局《关于开展2</w:t>
      </w:r>
      <w:r>
        <w:t>022</w:t>
      </w:r>
      <w:r>
        <w:rPr>
          <w:rFonts w:hint="eastAsia"/>
        </w:rPr>
        <w:t>年全面预算绩效管理工作的通知》</w:t>
      </w:r>
      <w:r>
        <w:t>（</w:t>
      </w:r>
      <w:r>
        <w:rPr>
          <w:rFonts w:hint="eastAsia"/>
        </w:rPr>
        <w:t>京财绩效</w:t>
      </w:r>
      <w:r>
        <w:t>〔2022〕</w:t>
      </w:r>
      <w:r>
        <w:rPr>
          <w:rFonts w:hint="eastAsia"/>
        </w:rPr>
        <w:t>6</w:t>
      </w:r>
      <w:r>
        <w:t>69号）</w:t>
      </w:r>
      <w:r>
        <w:rPr>
          <w:rFonts w:hint="eastAsia"/>
        </w:rPr>
        <w:t>有关要求，确定本次绩效评价指标的整体框架。针对项目构建一套指标体系，项目指标包括项目决策（项目立项、绩效目标、资金投入），项目过程（资金管理、组织实施），项目产出（产出数量、产出质量、产出时效、产出成本），项目效益（经济效益、社会效益、可持续影响、服务对象满意度）。根据项目工作实际情况等内容，确定本次绩效评价指标体系。指标数据来源于编制年度预算时提交的财政支出项目绩效目标申报表及项目设定的预期目标、相关法规、政府文件、基础数据采集、问卷调查和访谈等（具体指标体系见附件</w:t>
      </w:r>
      <w:r>
        <w:t>3</w:t>
      </w:r>
      <w:r>
        <w:rPr>
          <w:rFonts w:hint="eastAsia"/>
        </w:rPr>
        <w:t>）。</w:t>
      </w:r>
    </w:p>
    <w:p>
      <w:pPr>
        <w:pStyle w:val="3"/>
        <w:ind w:firstLine="640"/>
      </w:pPr>
      <w:r>
        <w:rPr>
          <w:rFonts w:hint="eastAsia"/>
        </w:rPr>
        <w:t>（1）项目决策：占权重1</w:t>
      </w:r>
      <w:r>
        <w:t>5</w:t>
      </w:r>
      <w:r>
        <w:rPr>
          <w:rFonts w:hint="eastAsia"/>
        </w:rPr>
        <w:t>分，用于考核项目立项依据规范性、绩效目标编制合理性、预算资金编制分配合理性等情况。</w:t>
      </w:r>
    </w:p>
    <w:p>
      <w:pPr>
        <w:pStyle w:val="3"/>
        <w:ind w:firstLine="640"/>
      </w:pPr>
      <w:r>
        <w:rPr>
          <w:rFonts w:hint="eastAsia"/>
        </w:rPr>
        <w:t>（2）</w:t>
      </w:r>
      <w:bookmarkStart w:id="12" w:name="_Hlk100689960"/>
      <w:r>
        <w:rPr>
          <w:rFonts w:hint="eastAsia"/>
        </w:rPr>
        <w:t>项目过程</w:t>
      </w:r>
      <w:bookmarkEnd w:id="12"/>
      <w:r>
        <w:rPr>
          <w:rFonts w:hint="eastAsia"/>
        </w:rPr>
        <w:t>：占权重</w:t>
      </w:r>
      <w:r>
        <w:t>25</w:t>
      </w:r>
      <w:r>
        <w:rPr>
          <w:rFonts w:hint="eastAsia"/>
        </w:rPr>
        <w:t>分，用于考核预算资金到位及执行使用的合规性、项目管理制度健全及有效性等情况。</w:t>
      </w:r>
    </w:p>
    <w:p>
      <w:pPr>
        <w:pStyle w:val="3"/>
        <w:ind w:firstLine="640"/>
      </w:pPr>
      <w:r>
        <w:rPr>
          <w:rFonts w:hint="eastAsia"/>
        </w:rPr>
        <w:t>（3）项目产出：占权重30分，分为产出数量、产出质量、产出时效、产出成本四个方面，用于衡量实际工作成果。</w:t>
      </w:r>
    </w:p>
    <w:p>
      <w:pPr>
        <w:pStyle w:val="3"/>
        <w:ind w:firstLine="640"/>
      </w:pPr>
      <w:r>
        <w:rPr>
          <w:rFonts w:hint="eastAsia"/>
        </w:rPr>
        <w:t>（4）项目效益：占权重</w:t>
      </w:r>
      <w:r>
        <w:t>30</w:t>
      </w:r>
      <w:r>
        <w:rPr>
          <w:rFonts w:hint="eastAsia"/>
        </w:rPr>
        <w:t>分，分为经济效益、社会效益、可持续影响、服务对象满意度五个方面，用于展现项目实施的效果。</w:t>
      </w:r>
    </w:p>
    <w:p>
      <w:pPr>
        <w:pStyle w:val="4"/>
        <w:ind w:left="0" w:leftChars="0" w:firstLine="640" w:firstLineChars="0"/>
      </w:pPr>
      <w:bookmarkStart w:id="13" w:name="_Toc103415883"/>
      <w:r>
        <w:t>绩效评价工作过程</w:t>
      </w:r>
      <w:bookmarkEnd w:id="13"/>
    </w:p>
    <w:p>
      <w:pPr>
        <w:pStyle w:val="3"/>
        <w:ind w:firstLine="640"/>
      </w:pPr>
      <w:r>
        <w:rPr>
          <w:rFonts w:hint="eastAsia"/>
        </w:rPr>
        <w:t>1、部门自评组织机构情况</w:t>
      </w:r>
    </w:p>
    <w:p>
      <w:pPr>
        <w:pStyle w:val="3"/>
        <w:ind w:firstLine="640"/>
        <w:rPr>
          <w:highlight w:val="yellow"/>
        </w:rPr>
      </w:pPr>
      <w:r>
        <w:rPr>
          <w:rFonts w:hint="eastAsia"/>
        </w:rPr>
        <w:t>市政研会根据市财政局预算绩效管理工作的要求，组织开展2</w:t>
      </w:r>
      <w:r>
        <w:t>021</w:t>
      </w:r>
      <w:r>
        <w:rPr>
          <w:rFonts w:hint="eastAsia"/>
        </w:rPr>
        <w:t>年度财政资金全过程预算绩效管理评价工作，成立评价工作小组，由市政研会常务副会长陈清担任组长，负责市政研会财政支出绩效全面执行、监督及审核；副秘书长王维广担任副组长，协助组长推进绩效工作的开展；研究部负责同志和网络信息化工作人员作为小组成员负责具体的项目实施工作。小组成员之间相互配合，积极沟通协调，共同保障项目工作的顺利进行。</w:t>
      </w:r>
    </w:p>
    <w:p>
      <w:pPr>
        <w:pStyle w:val="3"/>
        <w:ind w:firstLine="640"/>
      </w:pPr>
      <w:r>
        <w:rPr>
          <w:rFonts w:hint="eastAsia"/>
        </w:rPr>
        <w:t>2、部门自评实施情况</w:t>
      </w:r>
    </w:p>
    <w:p>
      <w:pPr>
        <w:pStyle w:val="3"/>
        <w:ind w:firstLine="640"/>
      </w:pPr>
      <w:r>
        <w:rPr>
          <w:rFonts w:hint="eastAsia"/>
        </w:rPr>
        <w:t>绩效评价工作流程分为前期准备阶段、现场核查阶段、资料信息汇总阶段、工作组评价阶段以及撰写评价报告等五个阶段。</w:t>
      </w:r>
    </w:p>
    <w:p>
      <w:pPr>
        <w:pStyle w:val="3"/>
        <w:ind w:firstLine="640"/>
      </w:pPr>
      <w:r>
        <w:rPr>
          <w:rFonts w:hint="eastAsia"/>
        </w:rPr>
        <w:t>前期准备阶段。评价工作组与项目实施主体在绩效评价理念、原则、工作方法、资料整理收集、绩效目标表填报、绩效报告撰写等方面进行广泛的沟通。在了解项目的立项背景、决策程序和项目实施的基本情况之后进行调研。</w:t>
      </w:r>
    </w:p>
    <w:p>
      <w:pPr>
        <w:pStyle w:val="3"/>
        <w:ind w:firstLine="640"/>
      </w:pPr>
      <w:r>
        <w:rPr>
          <w:rFonts w:hint="eastAsia"/>
        </w:rPr>
        <w:t>现场核查阶段。评价工作组从项目决策、项目管理、项目绩效三方面分别收集整理相关资料。主要包括：项目立项背景及发展计划、项目立项任务书、项目实施方案、项目管理办法、专项资金管理办法、相关账簿及会计凭证、审批资料、绩效目标表、实施效果证明资料、现场勘查等。</w:t>
      </w:r>
    </w:p>
    <w:p>
      <w:pPr>
        <w:pStyle w:val="3"/>
        <w:ind w:firstLine="640"/>
      </w:pPr>
      <w:r>
        <w:rPr>
          <w:rFonts w:hint="eastAsia"/>
        </w:rPr>
        <w:t>资料信息汇总阶段。评价工作组对陆续收集到的资料进行了分类整理和审查。按照立项决策管理、项目管理、制度建设管理、预算执行管理、绩效实现完成等方面对项目资料进行筛选和分类。</w:t>
      </w:r>
    </w:p>
    <w:p>
      <w:pPr>
        <w:pStyle w:val="3"/>
        <w:ind w:firstLine="640"/>
      </w:pPr>
      <w:r>
        <w:rPr>
          <w:rFonts w:hint="eastAsia"/>
        </w:rPr>
        <w:t>工作组评价阶段。评价工作组根据该项目特点，确定最终指标体系，对评价项目形成初步结论。</w:t>
      </w:r>
    </w:p>
    <w:p>
      <w:pPr>
        <w:pStyle w:val="3"/>
        <w:ind w:firstLine="640"/>
      </w:pPr>
      <w:r>
        <w:rPr>
          <w:rFonts w:hint="eastAsia"/>
        </w:rPr>
        <w:t>撰写评价报告。撰写评价报告初稿、沟通反馈、提交报告阶段。评价工作组根据评价意见，完成绩效评价报告初稿的撰写工作，并在与项目实施主体沟通反馈意见的基础上对评价报告进行修改，形成正式绩效评价报告。</w:t>
      </w:r>
    </w:p>
    <w:p>
      <w:pPr>
        <w:pStyle w:val="2"/>
        <w:ind w:firstLine="643"/>
      </w:pPr>
      <w:bookmarkStart w:id="14" w:name="_Toc103415884"/>
      <w:r>
        <w:t>综合评价情况及评价结论</w:t>
      </w:r>
      <w:bookmarkEnd w:id="14"/>
    </w:p>
    <w:p>
      <w:pPr>
        <w:pStyle w:val="3"/>
        <w:ind w:firstLine="640"/>
      </w:pPr>
      <w:r>
        <w:rPr>
          <w:rFonts w:hint="eastAsia"/>
        </w:rPr>
        <w:t>该项目绩效目标较为明确，决策依据充分，项目执行程序比较规范；财务制度管理体系基本健全，做到了专款专用，并严格执行了相关法律、法规及财务制度。</w:t>
      </w:r>
    </w:p>
    <w:p>
      <w:pPr>
        <w:pStyle w:val="3"/>
        <w:ind w:firstLine="640"/>
      </w:pPr>
      <w:r>
        <w:rPr>
          <w:rFonts w:hint="eastAsia"/>
        </w:rPr>
        <w:t>但该项目应建立健全的项目管理制度、进一步完善项目满意度调查，完善满意度调查问卷的设计内容；在效益资料收集、体现等方面仍需进一步加强。</w:t>
      </w:r>
    </w:p>
    <w:p>
      <w:pPr>
        <w:pStyle w:val="3"/>
        <w:ind w:firstLine="640"/>
      </w:pPr>
      <w:r>
        <w:rPr>
          <w:rFonts w:hint="eastAsia"/>
        </w:rPr>
        <w:t>评价组围绕绩效评价指标体系，通过数据采集分析、财务核查、实地核查及访谈等方式，对该项目绩效进行了客观、公正、合理、有效的评价，该项目综合评价得分</w:t>
      </w:r>
      <w:r>
        <w:t>91.00</w:t>
      </w:r>
      <w:r>
        <w:rPr>
          <w:rFonts w:hint="eastAsia"/>
        </w:rPr>
        <w:t>分，其中：项目决策</w:t>
      </w:r>
      <w:r>
        <w:t>14.00</w:t>
      </w:r>
      <w:r>
        <w:rPr>
          <w:rFonts w:hint="eastAsia"/>
        </w:rPr>
        <w:t>分，项目过程</w:t>
      </w:r>
      <w:r>
        <w:t>2</w:t>
      </w:r>
      <w:r>
        <w:rPr>
          <w:rFonts w:hint="eastAsia"/>
        </w:rPr>
        <w:t>3</w:t>
      </w:r>
      <w:r>
        <w:t>.00</w:t>
      </w:r>
      <w:r>
        <w:rPr>
          <w:rFonts w:hint="eastAsia"/>
        </w:rPr>
        <w:t>分，项目产出</w:t>
      </w:r>
      <w:r>
        <w:t>30.00</w:t>
      </w:r>
      <w:r>
        <w:rPr>
          <w:rFonts w:hint="eastAsia"/>
        </w:rPr>
        <w:t>分，项目效益</w:t>
      </w:r>
      <w:r>
        <w:t>2</w:t>
      </w:r>
      <w:r>
        <w:rPr>
          <w:rFonts w:hint="eastAsia"/>
        </w:rPr>
        <w:t>4</w:t>
      </w:r>
      <w:r>
        <w:t>.00</w:t>
      </w:r>
      <w:r>
        <w:rPr>
          <w:rFonts w:hint="eastAsia"/>
        </w:rPr>
        <w:t>分，评价等级为“优秀”。</w:t>
      </w:r>
    </w:p>
    <w:p>
      <w:pPr>
        <w:pStyle w:val="2"/>
        <w:ind w:firstLine="643"/>
      </w:pPr>
      <w:bookmarkStart w:id="15" w:name="_Toc103415885"/>
      <w:r>
        <w:t>绩效评价指标分析</w:t>
      </w:r>
      <w:bookmarkEnd w:id="15"/>
    </w:p>
    <w:p>
      <w:pPr>
        <w:pStyle w:val="4"/>
        <w:ind w:left="0" w:leftChars="0" w:firstLine="640" w:firstLineChars="0"/>
      </w:pPr>
      <w:bookmarkStart w:id="16" w:name="_Toc103415886"/>
      <w:r>
        <w:t>项目决策情况</w:t>
      </w:r>
      <w:bookmarkEnd w:id="16"/>
    </w:p>
    <w:p>
      <w:pPr>
        <w:pStyle w:val="3"/>
        <w:ind w:firstLine="640"/>
      </w:pPr>
      <w:r>
        <w:rPr>
          <w:rFonts w:hint="eastAsia"/>
        </w:rPr>
        <w:t>1、项目立项</w:t>
      </w:r>
    </w:p>
    <w:p>
      <w:pPr>
        <w:pStyle w:val="3"/>
        <w:ind w:firstLine="640"/>
      </w:pPr>
      <w:r>
        <w:rPr>
          <w:rFonts w:hint="eastAsia"/>
        </w:rPr>
        <w:t>市政研会根据市经信委印发的《北京市电子政务运维管理规范（试行）》的要求，对机房网络设备、日常办公用计算机进行常态化运维，包括日常故障处理、安全检查服务、安全应急响应、单机环境运维、信息化发展建设等内容，根据部门实际工作情况所需实施，项目实施必要性较强，项目经费测算依据充分；与其他项目或部门内部相关项目无重复</w:t>
      </w:r>
      <w:bookmarkStart w:id="17" w:name="_Hlk100698646"/>
      <w:bookmarkStart w:id="18" w:name="_Hlk100699361"/>
      <w:r>
        <w:rPr>
          <w:rFonts w:hint="eastAsia"/>
        </w:rPr>
        <w:t>。项目按照规定的程序进行申请设立，根据相关文件精神及部门工作安排向财政局提交预算申请，经过财政局批复，列入年度预算资金。项目申请相关审批文件、材料符合相关要求，事前已经经过集体讨论决策。</w:t>
      </w:r>
    </w:p>
    <w:bookmarkEnd w:id="17"/>
    <w:bookmarkEnd w:id="18"/>
    <w:p>
      <w:pPr>
        <w:pStyle w:val="3"/>
        <w:ind w:firstLine="640"/>
      </w:pPr>
      <w:r>
        <w:rPr>
          <w:rFonts w:hint="eastAsia"/>
        </w:rPr>
        <w:t>2、绩效目标</w:t>
      </w:r>
    </w:p>
    <w:p>
      <w:pPr>
        <w:pStyle w:val="3"/>
        <w:ind w:firstLine="640"/>
      </w:pPr>
      <w:r>
        <w:rPr>
          <w:rFonts w:hint="eastAsia"/>
        </w:rPr>
        <w:t>市政研会网络信息化综合运维服务项目申报预算设定了预算绩效目标，项目绩效目标与实际工作内容关联度高，绩效目标设定较明确，通过网络信息化综合运维服务项目，保障市政研会核心机房、办公用计算机的安全、稳定运行，提高办公效率。综合来看，绩效目标设定较为合理，但是，项目的质量指标、时效指标、效益指标等缺乏可量化的指标，绩效目标设定细化程度、可衡量性不足。</w:t>
      </w:r>
    </w:p>
    <w:p>
      <w:pPr>
        <w:pStyle w:val="3"/>
        <w:ind w:firstLine="640"/>
      </w:pPr>
      <w:r>
        <w:rPr>
          <w:rFonts w:hint="eastAsia"/>
        </w:rPr>
        <w:t>3、资金投入</w:t>
      </w:r>
    </w:p>
    <w:p>
      <w:pPr>
        <w:pStyle w:val="3"/>
        <w:ind w:firstLine="640"/>
      </w:pPr>
      <w:r>
        <w:rPr>
          <w:rFonts w:hint="eastAsia"/>
        </w:rPr>
        <w:t>市政研会网络信息化综合运维服务项目根据资金用途编制项目预算，列明项目实施的主要内容及资金投入使用量，预算内容与项目内容基本匹配，投入资金与项目工作内容相匹配，预算编制较为准确，资金分配额度较为合理。</w:t>
      </w:r>
    </w:p>
    <w:p>
      <w:pPr>
        <w:pStyle w:val="4"/>
        <w:ind w:left="0" w:leftChars="0" w:firstLine="640" w:firstLineChars="0"/>
      </w:pPr>
      <w:bookmarkStart w:id="19" w:name="_Toc103415887"/>
      <w:r>
        <w:t>项目过程情况</w:t>
      </w:r>
      <w:bookmarkEnd w:id="19"/>
    </w:p>
    <w:p>
      <w:pPr>
        <w:pStyle w:val="3"/>
        <w:ind w:firstLine="640"/>
      </w:pPr>
      <w:r>
        <w:rPr>
          <w:rFonts w:hint="eastAsia"/>
        </w:rPr>
        <w:t>1、资金管理</w:t>
      </w:r>
    </w:p>
    <w:p>
      <w:pPr>
        <w:pStyle w:val="3"/>
        <w:ind w:firstLine="640"/>
      </w:pPr>
      <w:r>
        <w:rPr>
          <w:rFonts w:hint="eastAsia"/>
        </w:rPr>
        <w:t>依据《北京市财政局关于批复北京市思想政治工作研究会2</w:t>
      </w:r>
      <w:r>
        <w:t>021</w:t>
      </w:r>
      <w:r>
        <w:rPr>
          <w:rFonts w:hint="eastAsia"/>
        </w:rPr>
        <w:t>年部门预算的函》（京财党政群指〔202</w:t>
      </w:r>
      <w:r>
        <w:t>1</w:t>
      </w:r>
      <w:r>
        <w:rPr>
          <w:rFonts w:hint="eastAsia"/>
        </w:rPr>
        <w:t>〕</w:t>
      </w:r>
      <w:r>
        <w:t>80</w:t>
      </w:r>
      <w:r>
        <w:rPr>
          <w:rFonts w:hint="eastAsia"/>
        </w:rPr>
        <w:t>号），市政研会网络信息化运行运维服务项目预算</w:t>
      </w:r>
      <w:r>
        <w:t>132,320.00</w:t>
      </w:r>
      <w:r>
        <w:rPr>
          <w:rFonts w:hint="eastAsia"/>
        </w:rPr>
        <w:t>元,截止2</w:t>
      </w:r>
      <w:r>
        <w:t>021</w:t>
      </w:r>
      <w:r>
        <w:rPr>
          <w:rFonts w:hint="eastAsia"/>
        </w:rPr>
        <w:t>年1</w:t>
      </w:r>
      <w:r>
        <w:t>2</w:t>
      </w:r>
      <w:r>
        <w:rPr>
          <w:rFonts w:hint="eastAsia"/>
        </w:rPr>
        <w:t>月3</w:t>
      </w:r>
      <w:r>
        <w:t>1</w:t>
      </w:r>
      <w:r>
        <w:rPr>
          <w:rFonts w:hint="eastAsia"/>
        </w:rPr>
        <w:t>日，实际到位资金</w:t>
      </w:r>
      <w:r>
        <w:t>132,320.00</w:t>
      </w:r>
      <w:r>
        <w:rPr>
          <w:rFonts w:hint="eastAsia"/>
        </w:rPr>
        <w:t>元，资金到位率1</w:t>
      </w:r>
      <w:r>
        <w:t>00</w:t>
      </w:r>
      <w:r>
        <w:rPr>
          <w:rFonts w:hint="eastAsia"/>
        </w:rPr>
        <w:t>%，截止2</w:t>
      </w:r>
      <w:r>
        <w:t>021</w:t>
      </w:r>
      <w:r>
        <w:rPr>
          <w:rFonts w:hint="eastAsia"/>
        </w:rPr>
        <w:t>年1</w:t>
      </w:r>
      <w:r>
        <w:t>2</w:t>
      </w:r>
      <w:r>
        <w:rPr>
          <w:rFonts w:hint="eastAsia"/>
        </w:rPr>
        <w:t>月3</w:t>
      </w:r>
      <w:r>
        <w:t>1</w:t>
      </w:r>
      <w:r>
        <w:rPr>
          <w:rFonts w:hint="eastAsia"/>
        </w:rPr>
        <w:t>日，该项目实际支出</w:t>
      </w:r>
      <w:r>
        <w:t>132,320.00</w:t>
      </w:r>
      <w:r>
        <w:rPr>
          <w:rFonts w:hint="eastAsia"/>
        </w:rPr>
        <w:t>元，预算执行率1</w:t>
      </w:r>
      <w:r>
        <w:t>00</w:t>
      </w:r>
      <w:r>
        <w:rPr>
          <w:rFonts w:hint="eastAsia"/>
        </w:rPr>
        <w:t>%。项目资金的使用严格按照单位《内部控制制度汇编》执行，资金使用符合相关财务管理制度，项目资金使用合规，资金拨付的审批程序和手续齐全。</w:t>
      </w:r>
    </w:p>
    <w:p>
      <w:pPr>
        <w:pStyle w:val="3"/>
        <w:ind w:firstLine="640"/>
      </w:pPr>
      <w:r>
        <w:rPr>
          <w:rFonts w:hint="eastAsia"/>
        </w:rPr>
        <w:t>但存在项目预算总金额与合同约定总金额一致，但二者明细金额不一致的情况。</w:t>
      </w:r>
    </w:p>
    <w:p>
      <w:pPr>
        <w:pStyle w:val="3"/>
        <w:ind w:firstLine="640"/>
      </w:pPr>
      <w:r>
        <w:rPr>
          <w:rFonts w:hint="eastAsia"/>
        </w:rPr>
        <w:t>2、组织实施</w:t>
      </w:r>
    </w:p>
    <w:p>
      <w:pPr>
        <w:pStyle w:val="3"/>
        <w:ind w:firstLine="640"/>
      </w:pPr>
      <w:r>
        <w:rPr>
          <w:rFonts w:hint="eastAsia"/>
        </w:rPr>
        <w:t>为提高管理水平，做到项目管理标准化、规范化，市政研会根据《北京市思想政治工作研究会内部控制手册》、《北京市思想政治工作研究会内部控制制度汇编》，对项目的立项、实施、资金的使用支出做出了具体规定，明确组织管理机构和责任主体，但是项目管理制度仍需进一步完善。聘请专业运维机构和人员进行核心机房网络系统运维服务，签订项目委托合同，定期对核心机房网络系统进行维护，出具季度运维报告书，分析故障存在的问题，及时进行维护，并按照要求将相关资料及时整理归档。</w:t>
      </w:r>
    </w:p>
    <w:p>
      <w:pPr>
        <w:pStyle w:val="4"/>
        <w:ind w:left="0" w:leftChars="0" w:firstLine="640" w:firstLineChars="0"/>
      </w:pPr>
      <w:bookmarkStart w:id="20" w:name="_Toc103415888"/>
      <w:r>
        <w:t>项目产出情况</w:t>
      </w:r>
      <w:bookmarkEnd w:id="20"/>
    </w:p>
    <w:p>
      <w:pPr>
        <w:pStyle w:val="3"/>
        <w:ind w:firstLine="640"/>
      </w:pPr>
      <w:r>
        <w:rPr>
          <w:rFonts w:hint="eastAsia"/>
        </w:rPr>
        <w:t>1、产出数量</w:t>
      </w:r>
    </w:p>
    <w:p>
      <w:pPr>
        <w:pStyle w:val="3"/>
        <w:ind w:firstLine="640"/>
      </w:pPr>
      <w:r>
        <w:rPr>
          <w:rFonts w:hint="eastAsia"/>
        </w:rPr>
        <w:t>每月两次对核心机房网络系统、核心机房安全系统以及核心机房动力系统进行检查和必要的调试、维护，对办公计算机单机系统进行检查和必要的调试、维护；每个季度对设备运行情况、设备运维工作进行汇报，并出具运维服务报告书。</w:t>
      </w:r>
    </w:p>
    <w:p>
      <w:pPr>
        <w:pStyle w:val="3"/>
        <w:ind w:firstLine="640"/>
      </w:pPr>
      <w:r>
        <w:rPr>
          <w:rFonts w:hint="eastAsia"/>
        </w:rPr>
        <w:t>2、产出质量</w:t>
      </w:r>
    </w:p>
    <w:p>
      <w:pPr>
        <w:pStyle w:val="3"/>
        <w:ind w:firstLine="640"/>
      </w:pPr>
      <w:r>
        <w:rPr>
          <w:rFonts w:hint="eastAsia"/>
        </w:rPr>
        <w:t>定期对网络基础设备、机房网络环境动力系统运行情况等进行巡检；对计算机终端的工位进行更换、连接、调试，对硬件设备进行检测、故障排查、更换，对计算机终端的系统进行重装、调试，对计算机终端的软件进行安装、调试、更新等；提升2021年市政研会办公网络和专业系统应对突发事件和网络黑客攻击能力，增强网络和系统的稳定性与安全性，实现办公用计算机的常态化运维和维修，保障市政研会核心机房及办公用计算机安全稳定运行。</w:t>
      </w:r>
    </w:p>
    <w:p>
      <w:pPr>
        <w:pStyle w:val="3"/>
        <w:ind w:firstLine="640"/>
      </w:pPr>
      <w:r>
        <w:rPr>
          <w:rFonts w:hint="eastAsia"/>
        </w:rPr>
        <w:t>3、产出时效</w:t>
      </w:r>
    </w:p>
    <w:p>
      <w:pPr>
        <w:pStyle w:val="3"/>
        <w:ind w:firstLine="640"/>
      </w:pPr>
      <w:r>
        <w:rPr>
          <w:rFonts w:hint="eastAsia"/>
        </w:rPr>
        <w:t>每月定期对核心机房网络系统、核心机房安全系统以及核心机房动力系统进行检查和必要的调试、维护，对办公计算机单机系统进行检查和必要的调试、维护；每个季度对设备运行情况、设备运维工作进行汇报，分析故障原因，并出具运维服务报告书。运维服务时间为2</w:t>
      </w:r>
      <w:r>
        <w:t>021</w:t>
      </w:r>
      <w:r>
        <w:rPr>
          <w:rFonts w:hint="eastAsia"/>
        </w:rPr>
        <w:t>年全年。</w:t>
      </w:r>
    </w:p>
    <w:p>
      <w:pPr>
        <w:pStyle w:val="3"/>
        <w:ind w:firstLine="640"/>
      </w:pPr>
      <w:r>
        <w:rPr>
          <w:rFonts w:hint="eastAsia"/>
        </w:rPr>
        <w:t>4、产出成本</w:t>
      </w:r>
    </w:p>
    <w:p>
      <w:pPr>
        <w:pStyle w:val="3"/>
        <w:ind w:firstLine="640"/>
      </w:pPr>
      <w:r>
        <w:rPr>
          <w:rFonts w:hint="eastAsia"/>
        </w:rPr>
        <w:t>市政研会</w:t>
      </w:r>
      <w:bookmarkStart w:id="21" w:name="_Hlk101965297"/>
      <w:r>
        <w:rPr>
          <w:rFonts w:hint="eastAsia"/>
        </w:rPr>
        <w:t>网络信息化综合运维服务项目</w:t>
      </w:r>
      <w:bookmarkEnd w:id="21"/>
      <w:r>
        <w:rPr>
          <w:rFonts w:hint="eastAsia"/>
        </w:rPr>
        <w:t>2</w:t>
      </w:r>
      <w:r>
        <w:t>021</w:t>
      </w:r>
      <w:r>
        <w:rPr>
          <w:rFonts w:hint="eastAsia"/>
        </w:rPr>
        <w:t>年收到北京市财政局拨付的预算资金</w:t>
      </w:r>
      <w:r>
        <w:t>132,320.00</w:t>
      </w:r>
      <w:r>
        <w:rPr>
          <w:rFonts w:hint="eastAsia"/>
        </w:rPr>
        <w:t>元，全部为财政资金，截止2</w:t>
      </w:r>
      <w:r>
        <w:t>021</w:t>
      </w:r>
      <w:r>
        <w:rPr>
          <w:rFonts w:hint="eastAsia"/>
        </w:rPr>
        <w:t>年1</w:t>
      </w:r>
      <w:r>
        <w:t>2</w:t>
      </w:r>
      <w:r>
        <w:rPr>
          <w:rFonts w:hint="eastAsia"/>
        </w:rPr>
        <w:t>月3</w:t>
      </w:r>
      <w:r>
        <w:t>1</w:t>
      </w:r>
      <w:r>
        <w:rPr>
          <w:rFonts w:hint="eastAsia"/>
        </w:rPr>
        <w:t>日，网络信息化综合运维服务项目实际使用资金</w:t>
      </w:r>
      <w:r>
        <w:t>132,320.00</w:t>
      </w:r>
      <w:r>
        <w:rPr>
          <w:rFonts w:hint="eastAsia"/>
        </w:rPr>
        <w:t>元，资金使用未超出预算，预算执行率1</w:t>
      </w:r>
      <w:r>
        <w:t>00</w:t>
      </w:r>
      <w:r>
        <w:rPr>
          <w:rFonts w:hint="eastAsia"/>
        </w:rPr>
        <w:t>%，项目预算编制准确性较高。</w:t>
      </w:r>
    </w:p>
    <w:p>
      <w:pPr>
        <w:pStyle w:val="4"/>
        <w:ind w:left="0" w:leftChars="0" w:firstLine="640" w:firstLineChars="0"/>
      </w:pPr>
      <w:bookmarkStart w:id="22" w:name="_Toc103415889"/>
      <w:r>
        <w:t>项目效益情况</w:t>
      </w:r>
      <w:bookmarkEnd w:id="22"/>
    </w:p>
    <w:p>
      <w:pPr>
        <w:pStyle w:val="3"/>
        <w:ind w:firstLine="640"/>
      </w:pPr>
      <w:r>
        <w:rPr>
          <w:rFonts w:hint="eastAsia"/>
        </w:rPr>
        <w:t>1、经济效益</w:t>
      </w:r>
    </w:p>
    <w:p>
      <w:pPr>
        <w:pStyle w:val="3"/>
        <w:ind w:firstLine="640"/>
      </w:pPr>
      <w:r>
        <w:rPr>
          <w:rFonts w:hint="eastAsia"/>
        </w:rPr>
        <w:t>进入信息时代之后，互联网就渐渐地普及到了人们的日常生活与工作学习之中，网络机房的地位也随之变得越来越重要。所以，将网络机房的管理与维护工作做好对于一个单位的日常运作而言非常重要。机房网络系统的管理工作一般具有工作强度较大、事物繁多冗杂、涉及范围广、系统性弱和技术难度要求较高等特点，合理、科学地进行机房网络系统的管理与维护，使网络机房的利用率得到提升，进而使网络机房的使用寿命延长，客观上降低单位的成本，间接地产生了一定的经济效益。</w:t>
      </w:r>
    </w:p>
    <w:p>
      <w:pPr>
        <w:pStyle w:val="3"/>
        <w:ind w:firstLine="640"/>
      </w:pPr>
      <w:r>
        <w:rPr>
          <w:rFonts w:hint="eastAsia"/>
        </w:rPr>
        <w:t>2、社会效益</w:t>
      </w:r>
    </w:p>
    <w:p>
      <w:pPr>
        <w:pStyle w:val="3"/>
        <w:ind w:firstLine="640"/>
      </w:pPr>
      <w:r>
        <w:rPr>
          <w:rFonts w:hint="eastAsia"/>
        </w:rPr>
        <w:t>目前社会要求网络信息具有较高的安全性，尤其是核心信息和重要数据的安全性。机房网络系统的管理与维护很好地解决了这一问题，使网络整体的稳定性得到保障；对潮湿和多尘的机房环境进行有效处理，为网络系统提供一个规范、科学的使用环境，进而实现安全运行。</w:t>
      </w:r>
    </w:p>
    <w:p>
      <w:pPr>
        <w:pStyle w:val="3"/>
        <w:ind w:firstLine="640"/>
      </w:pPr>
      <w:r>
        <w:rPr>
          <w:rFonts w:hint="eastAsia"/>
        </w:rPr>
        <w:t>3、可持续效益</w:t>
      </w:r>
    </w:p>
    <w:p>
      <w:pPr>
        <w:pStyle w:val="3"/>
        <w:ind w:firstLine="640"/>
      </w:pPr>
      <w:r>
        <w:rPr>
          <w:rFonts w:hint="eastAsia"/>
        </w:rPr>
        <w:t>市政研会网络信息化综合运维服务项目的实施，满足市政研会机关核心机房信息化设备和办公用计算机运维的工作需求，对核心机房信息化设备和办公用计算机进行日常运维，包括网络系统运维服务、安全系统运维服务、动力系统运维服务、单机系统运维服务等；通过专业的运维服务保障了本年度及以后年度核心机房和办公用计算机的安全、稳定运行，具有可持续性的影响。</w:t>
      </w:r>
    </w:p>
    <w:p>
      <w:pPr>
        <w:pStyle w:val="3"/>
        <w:ind w:firstLine="640"/>
      </w:pPr>
      <w:r>
        <w:rPr>
          <w:rFonts w:hint="eastAsia"/>
        </w:rPr>
        <w:t>4、服务对象满意度</w:t>
      </w:r>
    </w:p>
    <w:p>
      <w:pPr>
        <w:pStyle w:val="3"/>
        <w:ind w:firstLine="640"/>
      </w:pPr>
      <w:r>
        <w:rPr>
          <w:rFonts w:hint="eastAsia"/>
        </w:rPr>
        <w:t>市政研会网络信息化综合运维服务项目后期进行了满意度调查，对网络信息化综合运维项目给予了较好的评价，但是</w:t>
      </w:r>
      <w:bookmarkStart w:id="23" w:name="_Hlk103371765"/>
      <w:r>
        <w:rPr>
          <w:rFonts w:hint="eastAsia"/>
        </w:rPr>
        <w:t>满意度调查问卷内容设计过于简单，</w:t>
      </w:r>
      <w:bookmarkStart w:id="24" w:name="OLE_LINK1"/>
      <w:r>
        <w:rPr>
          <w:rFonts w:hint="eastAsia"/>
        </w:rPr>
        <w:t>调查问卷仅对项目的服务质量、项目人员表现进行了满意度调查，</w:t>
      </w:r>
      <w:bookmarkEnd w:id="23"/>
      <w:bookmarkEnd w:id="24"/>
      <w:r>
        <w:rPr>
          <w:rFonts w:hint="eastAsia"/>
        </w:rPr>
        <w:t>应充实满意度调查的内容，对项目的实施进行多方面的满意度调查，从而使财政资金的使用效果达到最大化。</w:t>
      </w:r>
    </w:p>
    <w:p>
      <w:pPr>
        <w:pStyle w:val="2"/>
        <w:ind w:firstLine="643"/>
      </w:pPr>
      <w:bookmarkStart w:id="25" w:name="_Toc103415890"/>
      <w:r>
        <w:t>主要经验及做法、</w:t>
      </w:r>
      <w:bookmarkStart w:id="26" w:name="_Hlk100778913"/>
      <w:r>
        <w:t>存在的问题及原因分析</w:t>
      </w:r>
      <w:bookmarkEnd w:id="25"/>
      <w:bookmarkEnd w:id="26"/>
    </w:p>
    <w:p>
      <w:pPr>
        <w:pStyle w:val="4"/>
        <w:ind w:left="0" w:leftChars="0" w:firstLine="640" w:firstLineChars="0"/>
      </w:pPr>
      <w:bookmarkStart w:id="27" w:name="_Toc103415891"/>
      <w:r>
        <w:rPr>
          <w:rFonts w:hint="eastAsia"/>
        </w:rPr>
        <w:t>主要经验及做法</w:t>
      </w:r>
      <w:bookmarkEnd w:id="27"/>
    </w:p>
    <w:p>
      <w:pPr>
        <w:pStyle w:val="3"/>
        <w:ind w:firstLine="640"/>
      </w:pPr>
      <w:r>
        <w:rPr>
          <w:rFonts w:hint="eastAsia"/>
        </w:rPr>
        <w:t>市政研会网络信息化综合运维服务项目的实施，保障了核心机房和办公用计算机的安全稳定运行，该项目作为单位的必要项目，单位领导非常重视绩效评价工作，根据北京市项目支出绩效评价管理办法的相关制度，组织进行此次绩效评价工作。从项目的前期立项、审批、资金的投入及使用过程，按照相关管理制度及专项资金管理制度的要求，核实财政资金的支出方向，在项目实施过程中，定期对项目的成果进行检查，加强对项目的监督管理和考核工作。项目支出绩效评价工作是落实财政资金使用方向的重要举措，能够真实反映财政资金的使用效果。</w:t>
      </w:r>
    </w:p>
    <w:p>
      <w:pPr>
        <w:pStyle w:val="4"/>
        <w:ind w:left="0" w:leftChars="0" w:firstLine="640" w:firstLineChars="0"/>
      </w:pPr>
      <w:bookmarkStart w:id="28" w:name="_Toc103415892"/>
      <w:r>
        <w:rPr>
          <w:rFonts w:hint="eastAsia"/>
        </w:rPr>
        <w:t>存在的问题及原因分析</w:t>
      </w:r>
      <w:bookmarkEnd w:id="28"/>
    </w:p>
    <w:p>
      <w:pPr>
        <w:pStyle w:val="3"/>
        <w:ind w:firstLine="640"/>
      </w:pPr>
      <w:r>
        <w:t>1</w:t>
      </w:r>
      <w:r>
        <w:rPr>
          <w:rFonts w:hint="eastAsia"/>
        </w:rPr>
        <w:t>、项目绩效目标细化程度不足，质量指标、时效指标、进度指标等缺少细化评定内容，指标值设置不够清晰、量化，可衡量性不足。</w:t>
      </w:r>
    </w:p>
    <w:p>
      <w:pPr>
        <w:pStyle w:val="3"/>
        <w:ind w:firstLine="640"/>
      </w:pPr>
      <w:r>
        <w:t>2</w:t>
      </w:r>
      <w:r>
        <w:rPr>
          <w:rFonts w:hint="eastAsia"/>
        </w:rPr>
        <w:t>、项目预算总金额与合同约定总金额一致，但二者明细金额不一致。</w:t>
      </w:r>
    </w:p>
    <w:p>
      <w:pPr>
        <w:pStyle w:val="3"/>
        <w:ind w:firstLine="640"/>
      </w:pPr>
      <w:r>
        <w:rPr>
          <w:rFonts w:hint="eastAsia"/>
        </w:rPr>
        <w:t>3、项目管理制度不够完善，反映绩效成果效益资料收集不完善，无法充分反映项目实施情况。</w:t>
      </w:r>
    </w:p>
    <w:p>
      <w:pPr>
        <w:pStyle w:val="3"/>
        <w:ind w:firstLine="640"/>
      </w:pPr>
      <w:r>
        <w:rPr>
          <w:rFonts w:hint="eastAsia"/>
        </w:rPr>
        <w:t>4、项目满意度调查问卷内容设计过于简单，调查问卷仅对项目的服务质量、项目人员表现进行了满意度调查，不能充分反映项目实施的效果。</w:t>
      </w:r>
    </w:p>
    <w:p>
      <w:pPr>
        <w:pStyle w:val="2"/>
        <w:ind w:firstLine="643"/>
      </w:pPr>
      <w:bookmarkStart w:id="29" w:name="_Toc103415893"/>
      <w:r>
        <w:t>有关建议</w:t>
      </w:r>
      <w:bookmarkEnd w:id="29"/>
    </w:p>
    <w:p>
      <w:pPr>
        <w:pStyle w:val="3"/>
        <w:ind w:firstLine="640"/>
      </w:pPr>
      <w:bookmarkStart w:id="34" w:name="_GoBack"/>
      <w:r>
        <w:t>1</w:t>
      </w:r>
      <w:r>
        <w:rPr>
          <w:rFonts w:hint="eastAsia"/>
        </w:rPr>
        <w:t>、进一步强化项目绩效目标制定的科学性和完整性，保证预算明细与项目实际实施明细一致，提高预算管理与财政支出绩效管理意识，对财政资金支持的项目注重目标设定的科学合理性，强化对产出指标的量化分析。</w:t>
      </w:r>
    </w:p>
    <w:p>
      <w:pPr>
        <w:pStyle w:val="3"/>
        <w:ind w:firstLine="640"/>
      </w:pPr>
      <w:r>
        <w:t>2</w:t>
      </w:r>
      <w:r>
        <w:rPr>
          <w:rFonts w:hint="eastAsia"/>
        </w:rPr>
        <w:t>、进一步加强项目绩效过程资料的收集，制定完善的项目管理制度及详细的监督管理机制，加强项目实施过程的监督管理。</w:t>
      </w:r>
    </w:p>
    <w:p>
      <w:pPr>
        <w:pStyle w:val="3"/>
        <w:ind w:firstLine="640"/>
      </w:pPr>
      <w:r>
        <w:t>3</w:t>
      </w:r>
      <w:r>
        <w:rPr>
          <w:rFonts w:hint="eastAsia"/>
        </w:rPr>
        <w:t>、进一步完善满意度调查问卷的内容，使调查内容更加全面具体，能够及时反应绩效管理过程中存在的问题，从而能够及时提出解决措施，逐步提升项目绩效管理的精细化水平。</w:t>
      </w:r>
    </w:p>
    <w:bookmarkEnd w:id="34"/>
    <w:p>
      <w:pPr>
        <w:pStyle w:val="2"/>
        <w:ind w:firstLine="643"/>
      </w:pPr>
      <w:bookmarkStart w:id="30" w:name="_Toc103415894"/>
      <w:r>
        <w:t>其他需要说明的问题</w:t>
      </w:r>
      <w:bookmarkEnd w:id="30"/>
    </w:p>
    <w:p>
      <w:pPr>
        <w:pStyle w:val="3"/>
        <w:ind w:firstLine="640"/>
      </w:pPr>
      <w:r>
        <w:rPr>
          <w:rFonts w:hint="eastAsia"/>
        </w:rPr>
        <w:t>无。</w:t>
      </w:r>
    </w:p>
    <w:p>
      <w:pPr>
        <w:pStyle w:val="2"/>
        <w:ind w:firstLine="643"/>
      </w:pPr>
      <w:bookmarkStart w:id="31" w:name="_Toc103415895"/>
      <w:r>
        <w:rPr>
          <w:rFonts w:hint="eastAsia"/>
        </w:rPr>
        <w:t>附件</w:t>
      </w:r>
      <w:bookmarkEnd w:id="31"/>
    </w:p>
    <w:p>
      <w:pPr>
        <w:pStyle w:val="3"/>
        <w:ind w:firstLine="640" w:firstLineChars="0"/>
      </w:pPr>
      <w:r>
        <w:rPr>
          <w:rFonts w:hint="eastAsia"/>
        </w:rPr>
        <w:t>1.专家意见汇总书</w:t>
      </w:r>
    </w:p>
    <w:p>
      <w:pPr>
        <w:pStyle w:val="3"/>
        <w:ind w:firstLine="640"/>
      </w:pPr>
      <w:r>
        <w:t>2.</w:t>
      </w:r>
      <w:r>
        <w:rPr>
          <w:rFonts w:hint="eastAsia"/>
        </w:rPr>
        <w:t>项目绩效目标完成情况及收支明细表</w:t>
      </w:r>
    </w:p>
    <w:p>
      <w:pPr>
        <w:pStyle w:val="3"/>
        <w:ind w:firstLine="640"/>
      </w:pPr>
      <w:r>
        <w:t>3.</w:t>
      </w:r>
      <w:r>
        <w:rPr>
          <w:rFonts w:hint="eastAsia"/>
        </w:rPr>
        <w:t>指标体系及打分情况表</w:t>
      </w:r>
    </w:p>
    <w:p>
      <w:pPr>
        <w:pStyle w:val="3"/>
        <w:ind w:firstLine="640"/>
      </w:pPr>
      <w:r>
        <w:t>4</w:t>
      </w:r>
      <w:r>
        <w:rPr>
          <w:rFonts w:hint="eastAsia"/>
        </w:rPr>
        <w:t>.反映绩效的相关图片（扉页位置）</w:t>
      </w:r>
      <w:r>
        <w:br w:type="page"/>
      </w:r>
    </w:p>
    <w:p>
      <w:pPr>
        <w:pStyle w:val="3"/>
        <w:ind w:firstLine="480"/>
        <w:rPr>
          <w:rFonts w:ascii="黑体" w:hAnsi="黑体" w:eastAsia="黑体" w:cs="宋体"/>
          <w:color w:val="000000"/>
          <w:kern w:val="0"/>
          <w:sz w:val="24"/>
          <w:szCs w:val="24"/>
        </w:rPr>
      </w:pPr>
      <w:bookmarkStart w:id="32" w:name="_Hlk103861357"/>
      <w:r>
        <w:rPr>
          <w:rFonts w:hint="eastAsia" w:ascii="黑体" w:hAnsi="黑体" w:eastAsia="黑体" w:cs="宋体"/>
          <w:color w:val="000000"/>
          <w:kern w:val="0"/>
          <w:sz w:val="24"/>
          <w:szCs w:val="24"/>
        </w:rPr>
        <w:t>附件</w:t>
      </w:r>
      <w:r>
        <w:rPr>
          <w:rFonts w:ascii="黑体" w:hAnsi="黑体" w:eastAsia="黑体" w:cs="宋体"/>
          <w:color w:val="000000"/>
          <w:kern w:val="0"/>
          <w:sz w:val="24"/>
          <w:szCs w:val="24"/>
        </w:rPr>
        <w:t>1</w:t>
      </w:r>
    </w:p>
    <w:bookmarkEnd w:id="32"/>
    <w:p>
      <w:pPr>
        <w:spacing w:line="360" w:lineRule="auto"/>
        <w:ind w:firstLine="723"/>
        <w:jc w:val="center"/>
        <w:outlineLvl w:val="0"/>
        <w:rPr>
          <w:rFonts w:ascii="仿宋_GB2312" w:eastAsia="黑体"/>
          <w:b/>
          <w:bCs/>
          <w:sz w:val="36"/>
          <w:szCs w:val="36"/>
        </w:rPr>
      </w:pPr>
    </w:p>
    <w:p>
      <w:pPr>
        <w:spacing w:line="360" w:lineRule="auto"/>
        <w:ind w:firstLine="723"/>
        <w:jc w:val="center"/>
        <w:outlineLvl w:val="0"/>
        <w:rPr>
          <w:rFonts w:ascii="仿宋_GB2312" w:eastAsia="黑体"/>
          <w:b/>
          <w:bCs/>
          <w:sz w:val="36"/>
          <w:szCs w:val="36"/>
        </w:rPr>
      </w:pPr>
    </w:p>
    <w:p>
      <w:pPr>
        <w:spacing w:line="360" w:lineRule="auto"/>
        <w:ind w:firstLine="723"/>
        <w:jc w:val="center"/>
        <w:outlineLvl w:val="0"/>
        <w:rPr>
          <w:rFonts w:ascii="黑体" w:eastAsia="黑体"/>
          <w:bCs/>
          <w:sz w:val="36"/>
          <w:szCs w:val="36"/>
        </w:rPr>
      </w:pPr>
      <w:r>
        <w:rPr>
          <w:rFonts w:hint="eastAsia" w:ascii="仿宋_GB2312" w:eastAsia="黑体"/>
          <w:b/>
          <w:bCs/>
          <w:sz w:val="36"/>
          <w:szCs w:val="36"/>
        </w:rPr>
        <w:t>北京市项目支出绩效评价</w:t>
      </w:r>
      <w:r>
        <w:rPr>
          <w:rFonts w:ascii="仿宋_GB2312" w:eastAsia="黑体"/>
          <w:b/>
          <w:bCs/>
          <w:sz w:val="36"/>
          <w:szCs w:val="36"/>
        </w:rPr>
        <w:br w:type="textWrapping" w:clear="all"/>
      </w:r>
      <w:r>
        <w:rPr>
          <w:rFonts w:hint="eastAsia" w:ascii="黑体" w:eastAsia="黑体"/>
          <w:b/>
          <w:spacing w:val="20"/>
          <w:sz w:val="36"/>
          <w:szCs w:val="36"/>
        </w:rPr>
        <w:t>专家意见汇总书</w:t>
      </w:r>
      <w:r>
        <w:rPr>
          <w:rFonts w:ascii="黑体" w:eastAsia="黑体"/>
          <w:b/>
          <w:spacing w:val="20"/>
          <w:sz w:val="36"/>
          <w:szCs w:val="36"/>
        </w:rPr>
        <w:br w:type="textWrapping" w:clear="all"/>
      </w: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pacing w:line="360" w:lineRule="auto"/>
        <w:ind w:firstLine="960"/>
        <w:jc w:val="center"/>
        <w:rPr>
          <w:rFonts w:ascii="黑体" w:eastAsia="黑体"/>
          <w:sz w:val="48"/>
          <w:szCs w:val="48"/>
        </w:rPr>
      </w:pPr>
    </w:p>
    <w:p>
      <w:pPr>
        <w:snapToGrid w:val="0"/>
        <w:spacing w:line="420" w:lineRule="auto"/>
        <w:ind w:right="120" w:firstLine="1420" w:firstLineChars="592"/>
        <w:rPr>
          <w:rFonts w:ascii="宋体" w:hAnsi="宋体"/>
          <w:sz w:val="24"/>
          <w:u w:val="single"/>
        </w:rPr>
      </w:pPr>
      <w:r>
        <w:rPr>
          <w:rFonts w:hint="eastAsia" w:ascii="宋体" w:hAnsi="宋体"/>
          <w:sz w:val="24"/>
        </w:rPr>
        <w:t>项目名称：</w:t>
      </w:r>
      <w:r>
        <w:rPr>
          <w:rFonts w:ascii="宋体" w:hAnsi="宋体"/>
          <w:sz w:val="24"/>
          <w:u w:val="single"/>
        </w:rPr>
        <w:t xml:space="preserve"> </w:t>
      </w:r>
      <w:r>
        <w:rPr>
          <w:rFonts w:hint="eastAsia" w:ascii="宋体" w:hAnsi="宋体"/>
          <w:sz w:val="24"/>
          <w:u w:val="single"/>
        </w:rPr>
        <w:t xml:space="preserve"> </w:t>
      </w:r>
      <w:r>
        <w:rPr>
          <w:rFonts w:ascii="宋体" w:hAnsi="宋体"/>
          <w:sz w:val="24"/>
          <w:u w:val="single"/>
        </w:rPr>
        <w:t xml:space="preserve"> </w:t>
      </w:r>
      <w:r>
        <w:rPr>
          <w:rFonts w:hint="eastAsia" w:ascii="宋体" w:hAnsi="宋体"/>
          <w:sz w:val="24"/>
          <w:u w:val="single"/>
        </w:rPr>
        <w:t xml:space="preserve">  网络信息化综合运维服务      </w:t>
      </w:r>
    </w:p>
    <w:p>
      <w:pPr>
        <w:snapToGrid w:val="0"/>
        <w:spacing w:line="420" w:lineRule="auto"/>
        <w:ind w:right="120" w:firstLine="1420" w:firstLineChars="592"/>
        <w:rPr>
          <w:rFonts w:ascii="宋体" w:hAnsi="宋体"/>
          <w:sz w:val="24"/>
        </w:rPr>
      </w:pPr>
      <w:r>
        <w:rPr>
          <w:rFonts w:hint="eastAsia" w:ascii="宋体" w:hAnsi="宋体"/>
          <w:sz w:val="24"/>
        </w:rPr>
        <w:t>项目单位：</w:t>
      </w:r>
      <w:r>
        <w:rPr>
          <w:rFonts w:ascii="宋体" w:hAnsi="宋体"/>
          <w:sz w:val="24"/>
          <w:u w:val="single"/>
        </w:rPr>
        <w:t xml:space="preserve">     </w:t>
      </w:r>
      <w:r>
        <w:rPr>
          <w:rFonts w:hint="eastAsia" w:ascii="宋体" w:hAnsi="宋体"/>
          <w:sz w:val="24"/>
          <w:u w:val="single"/>
        </w:rPr>
        <w:t>北京市思想政治工作研究会</w:t>
      </w:r>
      <w:r>
        <w:rPr>
          <w:rFonts w:ascii="宋体" w:hAnsi="宋体"/>
          <w:sz w:val="24"/>
          <w:u w:val="single"/>
        </w:rPr>
        <w:t xml:space="preserve">    </w:t>
      </w:r>
    </w:p>
    <w:p>
      <w:pPr>
        <w:snapToGrid w:val="0"/>
        <w:spacing w:line="420" w:lineRule="auto"/>
        <w:ind w:right="120" w:firstLine="1420" w:firstLineChars="592"/>
        <w:rPr>
          <w:rFonts w:ascii="宋体" w:hAnsi="宋体"/>
          <w:sz w:val="24"/>
          <w:u w:val="single"/>
        </w:rPr>
      </w:pPr>
      <w:r>
        <w:rPr>
          <w:rFonts w:hint="eastAsia" w:ascii="宋体" w:hAnsi="宋体"/>
          <w:sz w:val="24"/>
        </w:rPr>
        <w:t>主管部门：</w:t>
      </w:r>
      <w:r>
        <w:rPr>
          <w:rFonts w:ascii="宋体" w:hAnsi="宋体"/>
          <w:sz w:val="24"/>
          <w:u w:val="single"/>
        </w:rPr>
        <w:t xml:space="preserve">     </w:t>
      </w:r>
      <w:r>
        <w:rPr>
          <w:rFonts w:hint="eastAsia" w:ascii="宋体" w:hAnsi="宋体"/>
          <w:sz w:val="24"/>
          <w:u w:val="single"/>
        </w:rPr>
        <w:t>北京市思想政治工作研究会</w:t>
      </w:r>
      <w:r>
        <w:rPr>
          <w:rFonts w:ascii="宋体" w:hAnsi="宋体"/>
          <w:sz w:val="24"/>
          <w:u w:val="single"/>
        </w:rPr>
        <w:t xml:space="preserve">    </w:t>
      </w:r>
    </w:p>
    <w:p>
      <w:pPr>
        <w:snapToGrid w:val="0"/>
        <w:spacing w:line="420" w:lineRule="auto"/>
        <w:ind w:firstLine="1440" w:firstLineChars="600"/>
        <w:rPr>
          <w:rFonts w:ascii="宋体" w:hAnsi="宋体"/>
          <w:sz w:val="24"/>
        </w:rPr>
      </w:pPr>
      <w:r>
        <w:rPr>
          <w:rFonts w:hint="eastAsia" w:ascii="宋体" w:hAnsi="宋体"/>
          <w:sz w:val="24"/>
        </w:rPr>
        <w:t>评价时间：</w:t>
      </w:r>
      <w:r>
        <w:rPr>
          <w:rFonts w:ascii="宋体" w:hAnsi="宋体"/>
          <w:sz w:val="24"/>
          <w:u w:val="single"/>
        </w:rPr>
        <w:t xml:space="preserve">   2022   </w:t>
      </w:r>
      <w:r>
        <w:rPr>
          <w:rFonts w:hint="eastAsia" w:ascii="宋体" w:hAnsi="宋体"/>
          <w:sz w:val="24"/>
        </w:rPr>
        <w:t>年</w:t>
      </w:r>
      <w:r>
        <w:rPr>
          <w:rFonts w:ascii="宋体" w:hAnsi="宋体"/>
          <w:sz w:val="24"/>
        </w:rPr>
        <w:t xml:space="preserve"> </w:t>
      </w:r>
      <w:r>
        <w:rPr>
          <w:rFonts w:ascii="宋体" w:hAnsi="宋体"/>
          <w:sz w:val="24"/>
          <w:u w:val="single"/>
        </w:rPr>
        <w:t xml:space="preserve">    5    </w:t>
      </w:r>
      <w:r>
        <w:rPr>
          <w:rFonts w:hint="eastAsia" w:ascii="宋体" w:hAnsi="宋体"/>
          <w:sz w:val="24"/>
        </w:rPr>
        <w:t>月</w:t>
      </w:r>
      <w:r>
        <w:rPr>
          <w:rFonts w:ascii="宋体" w:hAnsi="宋体"/>
          <w:sz w:val="24"/>
        </w:rPr>
        <w:t xml:space="preserve"> </w:t>
      </w:r>
      <w:r>
        <w:rPr>
          <w:rFonts w:ascii="宋体" w:hAnsi="宋体"/>
          <w:sz w:val="24"/>
          <w:u w:val="single"/>
        </w:rPr>
        <w:t xml:space="preserve">  12</w:t>
      </w:r>
      <w:r>
        <w:rPr>
          <w:rFonts w:hint="eastAsia" w:ascii="宋体" w:hAnsi="宋体"/>
          <w:sz w:val="24"/>
          <w:u w:val="single"/>
        </w:rPr>
        <w:t xml:space="preserve"> </w:t>
      </w:r>
      <w:r>
        <w:rPr>
          <w:rFonts w:ascii="宋体" w:hAnsi="宋体"/>
          <w:sz w:val="24"/>
          <w:u w:val="single"/>
        </w:rPr>
        <w:t xml:space="preserve">  </w:t>
      </w:r>
      <w:r>
        <w:rPr>
          <w:rFonts w:hint="eastAsia" w:ascii="宋体" w:hAnsi="宋体"/>
          <w:sz w:val="24"/>
        </w:rPr>
        <w:t>日</w:t>
      </w:r>
    </w:p>
    <w:p>
      <w:pPr>
        <w:widowControl/>
        <w:spacing w:before="0" w:after="0" w:line="240" w:lineRule="auto"/>
        <w:ind w:firstLine="0" w:firstLineChars="0"/>
        <w:jc w:val="left"/>
        <w:rPr>
          <w:rFonts w:ascii="黑体" w:hAnsi="黑体" w:eastAsia="黑体" w:cs="宋体"/>
          <w:color w:val="000000"/>
          <w:kern w:val="0"/>
          <w:sz w:val="24"/>
          <w:szCs w:val="24"/>
        </w:rPr>
      </w:pPr>
      <w:r>
        <w:rPr>
          <w:rFonts w:ascii="黑体" w:hAnsi="黑体" w:eastAsia="黑体" w:cs="宋体"/>
          <w:color w:val="000000"/>
          <w:kern w:val="0"/>
          <w:sz w:val="24"/>
          <w:szCs w:val="24"/>
        </w:rPr>
        <w:br w:type="page"/>
      </w:r>
    </w:p>
    <w:tbl>
      <w:tblPr>
        <w:tblStyle w:val="17"/>
        <w:tblW w:w="5000" w:type="pct"/>
        <w:tblInd w:w="0" w:type="dxa"/>
        <w:tblLayout w:type="autofit"/>
        <w:tblCellMar>
          <w:top w:w="0" w:type="dxa"/>
          <w:left w:w="108" w:type="dxa"/>
          <w:bottom w:w="0" w:type="dxa"/>
          <w:right w:w="108" w:type="dxa"/>
        </w:tblCellMar>
      </w:tblPr>
      <w:tblGrid>
        <w:gridCol w:w="2780"/>
        <w:gridCol w:w="1233"/>
        <w:gridCol w:w="1221"/>
        <w:gridCol w:w="1221"/>
        <w:gridCol w:w="1035"/>
        <w:gridCol w:w="1038"/>
      </w:tblGrid>
      <w:tr>
        <w:tblPrEx>
          <w:tblCellMar>
            <w:top w:w="0" w:type="dxa"/>
            <w:left w:w="108" w:type="dxa"/>
            <w:bottom w:w="0" w:type="dxa"/>
            <w:right w:w="108" w:type="dxa"/>
          </w:tblCellMar>
        </w:tblPrEx>
        <w:trPr>
          <w:trHeight w:val="863" w:hRule="atLeast"/>
        </w:trPr>
        <w:tc>
          <w:tcPr>
            <w:tcW w:w="5000" w:type="pct"/>
            <w:gridSpan w:val="6"/>
            <w:tcBorders>
              <w:top w:val="nil"/>
              <w:left w:val="nil"/>
              <w:bottom w:val="single" w:color="auto" w:sz="4" w:space="0"/>
              <w:right w:val="nil"/>
            </w:tcBorders>
            <w:shd w:val="clear" w:color="auto" w:fill="auto"/>
            <w:noWrap/>
            <w:vAlign w:val="center"/>
          </w:tcPr>
          <w:p>
            <w:pPr>
              <w:widowControl/>
              <w:spacing w:before="0" w:after="0" w:line="240" w:lineRule="auto"/>
              <w:ind w:firstLine="643"/>
              <w:jc w:val="left"/>
              <w:rPr>
                <w:rFonts w:ascii="宋体" w:hAnsi="宋体" w:eastAsia="宋体" w:cs="宋体"/>
                <w:b/>
                <w:bCs/>
                <w:kern w:val="0"/>
              </w:rPr>
            </w:pPr>
            <w:bookmarkStart w:id="33" w:name="RANGE!A1:F19"/>
            <w:r>
              <w:rPr>
                <w:rFonts w:hint="eastAsia" w:ascii="宋体" w:hAnsi="宋体" w:eastAsia="宋体" w:cs="宋体"/>
                <w:b/>
                <w:bCs/>
                <w:kern w:val="0"/>
              </w:rPr>
              <w:t>一、专家评分汇总表</w:t>
            </w:r>
            <w:bookmarkEnd w:id="33"/>
          </w:p>
        </w:tc>
      </w:tr>
      <w:tr>
        <w:tblPrEx>
          <w:tblCellMar>
            <w:top w:w="0" w:type="dxa"/>
            <w:left w:w="108" w:type="dxa"/>
            <w:bottom w:w="0" w:type="dxa"/>
            <w:right w:w="108" w:type="dxa"/>
          </w:tblCellMar>
        </w:tblPrEx>
        <w:trPr>
          <w:trHeight w:val="923" w:hRule="atLeast"/>
        </w:trPr>
        <w:tc>
          <w:tcPr>
            <w:tcW w:w="2353" w:type="pct"/>
            <w:gridSpan w:val="2"/>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评价指标及分值</w:t>
            </w:r>
          </w:p>
        </w:tc>
        <w:tc>
          <w:tcPr>
            <w:tcW w:w="2647" w:type="pct"/>
            <w:gridSpan w:val="4"/>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专家评价计分</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考评指标</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分值</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黄根隆</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郭淑桂</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赵华</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黑体" w:hAnsi="黑体" w:eastAsia="黑体" w:cs="宋体"/>
                <w:kern w:val="0"/>
                <w:sz w:val="22"/>
                <w:szCs w:val="22"/>
              </w:rPr>
            </w:pPr>
            <w:r>
              <w:rPr>
                <w:rFonts w:hint="eastAsia" w:ascii="黑体" w:hAnsi="黑体" w:eastAsia="黑体" w:cs="宋体"/>
                <w:kern w:val="0"/>
                <w:sz w:val="22"/>
                <w:szCs w:val="22"/>
              </w:rPr>
              <w:t>平均</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项目决策</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14.00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14.00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项目立项</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5.00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绩效目标</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4.00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4.00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资金投入</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5.00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项目过程</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22.00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23.00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23.00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资金管理</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13.50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14.50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14.00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组织实施</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8.50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9.00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9.50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9.00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项目产出</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30.00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30.00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30.00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30.00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30.00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产出数量</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5.00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产出质量</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10.00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产出时效</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5.00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5.00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产出成本</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10.00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项目效益</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30.00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24.00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24.00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24.00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 xml:space="preserve">  项目实施效益</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20.00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16.50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17.00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17.50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17.00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kern w:val="0"/>
                <w:sz w:val="22"/>
                <w:szCs w:val="22"/>
              </w:rPr>
            </w:pPr>
            <w:r>
              <w:rPr>
                <w:rFonts w:hint="eastAsia" w:ascii="宋体" w:hAnsi="宋体" w:eastAsia="宋体" w:cs="宋体"/>
                <w:kern w:val="0"/>
                <w:sz w:val="22"/>
                <w:szCs w:val="22"/>
              </w:rPr>
              <w:t xml:space="preserve">   满意度</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10.00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7.50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7.00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kern w:val="0"/>
                <w:sz w:val="22"/>
                <w:szCs w:val="22"/>
              </w:rPr>
            </w:pPr>
            <w:r>
              <w:rPr>
                <w:rFonts w:hint="eastAsia" w:ascii="宋体" w:hAnsi="宋体" w:eastAsia="宋体" w:cs="宋体"/>
                <w:kern w:val="0"/>
                <w:sz w:val="22"/>
                <w:szCs w:val="22"/>
              </w:rPr>
              <w:t>6.50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7.00</w:t>
            </w:r>
          </w:p>
        </w:tc>
      </w:tr>
      <w:tr>
        <w:tblPrEx>
          <w:tblCellMar>
            <w:top w:w="0" w:type="dxa"/>
            <w:left w:w="108" w:type="dxa"/>
            <w:bottom w:w="0" w:type="dxa"/>
            <w:right w:w="108" w:type="dxa"/>
          </w:tblCellMar>
        </w:tblPrEx>
        <w:trPr>
          <w:trHeight w:val="570" w:hRule="atLeast"/>
        </w:trPr>
        <w:tc>
          <w:tcPr>
            <w:tcW w:w="1630" w:type="pc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综　　合</w:t>
            </w:r>
          </w:p>
        </w:tc>
        <w:tc>
          <w:tcPr>
            <w:tcW w:w="723"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100.00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90.00</w:t>
            </w:r>
          </w:p>
        </w:tc>
        <w:tc>
          <w:tcPr>
            <w:tcW w:w="716"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91.00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92.00</w:t>
            </w:r>
          </w:p>
        </w:tc>
        <w:tc>
          <w:tcPr>
            <w:tcW w:w="607" w:type="pct"/>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kern w:val="0"/>
                <w:sz w:val="22"/>
                <w:szCs w:val="22"/>
              </w:rPr>
            </w:pPr>
            <w:r>
              <w:rPr>
                <w:rFonts w:hint="eastAsia" w:ascii="宋体" w:hAnsi="宋体" w:eastAsia="宋体" w:cs="宋体"/>
                <w:b/>
                <w:bCs/>
                <w:kern w:val="0"/>
                <w:sz w:val="22"/>
                <w:szCs w:val="22"/>
              </w:rPr>
              <w:t>91.00</w:t>
            </w:r>
          </w:p>
        </w:tc>
      </w:tr>
    </w:tbl>
    <w:p>
      <w:pPr>
        <w:tabs>
          <w:tab w:val="left" w:pos="1925"/>
        </w:tabs>
        <w:ind w:firstLine="0" w:firstLineChars="0"/>
        <w:rPr>
          <w:rFonts w:ascii="黑体" w:hAnsi="黑体" w:eastAsia="黑体" w:cs="宋体"/>
          <w:color w:val="000000"/>
          <w:kern w:val="0"/>
          <w:sz w:val="24"/>
          <w:szCs w:val="24"/>
        </w:rPr>
      </w:pPr>
    </w:p>
    <w:p>
      <w:pPr>
        <w:tabs>
          <w:tab w:val="left" w:pos="1925"/>
        </w:tabs>
        <w:ind w:firstLine="0" w:firstLineChars="0"/>
        <w:rPr>
          <w:rFonts w:ascii="黑体" w:hAnsi="黑体" w:eastAsia="黑体" w:cs="宋体"/>
          <w:color w:val="000000"/>
          <w:kern w:val="0"/>
          <w:sz w:val="24"/>
          <w:szCs w:val="24"/>
        </w:rPr>
      </w:pPr>
    </w:p>
    <w:tbl>
      <w:tblPr>
        <w:tblStyle w:val="17"/>
        <w:tblW w:w="16467" w:type="dxa"/>
        <w:tblInd w:w="108" w:type="dxa"/>
        <w:tblLayout w:type="autofit"/>
        <w:tblCellMar>
          <w:top w:w="0" w:type="dxa"/>
          <w:left w:w="108" w:type="dxa"/>
          <w:bottom w:w="0" w:type="dxa"/>
          <w:right w:w="108" w:type="dxa"/>
        </w:tblCellMar>
      </w:tblPr>
      <w:tblGrid>
        <w:gridCol w:w="1885"/>
        <w:gridCol w:w="3061"/>
        <w:gridCol w:w="1798"/>
        <w:gridCol w:w="1993"/>
        <w:gridCol w:w="878"/>
        <w:gridCol w:w="3961"/>
        <w:gridCol w:w="1798"/>
        <w:gridCol w:w="1093"/>
      </w:tblGrid>
      <w:tr>
        <w:tblPrEx>
          <w:tblCellMar>
            <w:top w:w="0" w:type="dxa"/>
            <w:left w:w="108" w:type="dxa"/>
            <w:bottom w:w="0" w:type="dxa"/>
            <w:right w:w="108" w:type="dxa"/>
          </w:tblCellMar>
        </w:tblPrEx>
        <w:trPr>
          <w:trHeight w:val="470" w:hRule="atLeast"/>
        </w:trPr>
        <w:tc>
          <w:tcPr>
            <w:tcW w:w="9615" w:type="dxa"/>
            <w:gridSpan w:val="5"/>
            <w:tcBorders>
              <w:top w:val="nil"/>
              <w:left w:val="nil"/>
              <w:bottom w:val="nil"/>
              <w:right w:val="nil"/>
            </w:tcBorders>
            <w:shd w:val="clear" w:color="auto" w:fill="auto"/>
            <w:noWrap/>
            <w:vAlign w:val="center"/>
          </w:tcPr>
          <w:p>
            <w:pPr>
              <w:widowControl/>
              <w:spacing w:before="0" w:after="0" w:line="240" w:lineRule="auto"/>
              <w:ind w:firstLine="0" w:firstLineChars="0"/>
              <w:jc w:val="left"/>
              <w:rPr>
                <w:rFonts w:ascii="黑体" w:hAnsi="黑体" w:eastAsia="黑体" w:cs="宋体"/>
                <w:color w:val="000000"/>
                <w:kern w:val="0"/>
                <w:sz w:val="24"/>
                <w:szCs w:val="24"/>
              </w:rPr>
            </w:pPr>
            <w:r>
              <w:br w:type="page"/>
            </w:r>
            <w:r>
              <w:br w:type="page"/>
            </w:r>
            <w:r>
              <w:rPr>
                <w:rFonts w:hint="eastAsia" w:ascii="黑体" w:hAnsi="黑体" w:eastAsia="黑体" w:cs="宋体"/>
                <w:color w:val="000000"/>
                <w:kern w:val="0"/>
                <w:sz w:val="24"/>
                <w:szCs w:val="24"/>
              </w:rPr>
              <w:drawing>
                <wp:anchor distT="0" distB="0" distL="114300" distR="114300" simplePos="0" relativeHeight="251661312" behindDoc="1" locked="0" layoutInCell="1" allowOverlap="1">
                  <wp:simplePos x="0" y="0"/>
                  <wp:positionH relativeFrom="column">
                    <wp:posOffset>-162560</wp:posOffset>
                  </wp:positionH>
                  <wp:positionV relativeFrom="paragraph">
                    <wp:posOffset>-206375</wp:posOffset>
                  </wp:positionV>
                  <wp:extent cx="5968365" cy="8452485"/>
                  <wp:effectExtent l="0" t="0" r="0" b="6350"/>
                  <wp:wrapTight wrapText="bothSides">
                    <wp:wrapPolygon>
                      <wp:start x="0" y="0"/>
                      <wp:lineTo x="0" y="21568"/>
                      <wp:lineTo x="21510" y="21568"/>
                      <wp:lineTo x="21510" y="0"/>
                      <wp:lineTo x="0" y="0"/>
                    </wp:wrapPolygon>
                  </wp:wrapTight>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68481" cy="8452236"/>
                          </a:xfrm>
                          <a:prstGeom prst="rect">
                            <a:avLst/>
                          </a:prstGeom>
                        </pic:spPr>
                      </pic:pic>
                    </a:graphicData>
                  </a:graphic>
                </wp:anchor>
              </w:drawing>
            </w:r>
            <w:r>
              <w:rPr>
                <w:rFonts w:ascii="黑体" w:hAnsi="黑体" w:eastAsia="黑体" w:cs="宋体"/>
                <w:sz w:val="24"/>
                <w:szCs w:val="24"/>
              </w:rPr>
              <w:tab/>
            </w:r>
          </w:p>
        </w:tc>
        <w:tc>
          <w:tcPr>
            <w:tcW w:w="3961" w:type="dxa"/>
            <w:tcBorders>
              <w:top w:val="nil"/>
              <w:left w:val="nil"/>
              <w:bottom w:val="nil"/>
              <w:right w:val="nil"/>
            </w:tcBorders>
            <w:shd w:val="clear" w:color="auto" w:fill="auto"/>
            <w:noWrap/>
            <w:vAlign w:val="center"/>
          </w:tcPr>
          <w:p>
            <w:pPr>
              <w:widowControl/>
              <w:spacing w:before="0" w:after="0" w:line="240" w:lineRule="auto"/>
              <w:ind w:firstLine="0" w:firstLineChars="0"/>
              <w:jc w:val="left"/>
              <w:rPr>
                <w:rFonts w:ascii="黑体" w:hAnsi="黑体" w:eastAsia="黑体" w:cs="宋体"/>
                <w:color w:val="000000"/>
                <w:kern w:val="0"/>
                <w:sz w:val="24"/>
                <w:szCs w:val="24"/>
              </w:rPr>
            </w:pPr>
          </w:p>
        </w:tc>
        <w:tc>
          <w:tcPr>
            <w:tcW w:w="1798" w:type="dxa"/>
            <w:tcBorders>
              <w:top w:val="nil"/>
              <w:left w:val="nil"/>
              <w:bottom w:val="nil"/>
              <w:right w:val="nil"/>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p>
        </w:tc>
        <w:tc>
          <w:tcPr>
            <w:tcW w:w="1093" w:type="dxa"/>
            <w:tcBorders>
              <w:top w:val="nil"/>
              <w:left w:val="nil"/>
              <w:bottom w:val="nil"/>
              <w:right w:val="nil"/>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p>
        </w:tc>
      </w:tr>
      <w:tr>
        <w:tblPrEx>
          <w:tblCellMar>
            <w:top w:w="0" w:type="dxa"/>
            <w:left w:w="108" w:type="dxa"/>
            <w:bottom w:w="0" w:type="dxa"/>
            <w:right w:w="108" w:type="dxa"/>
          </w:tblCellMar>
        </w:tblPrEx>
        <w:trPr>
          <w:trHeight w:val="470" w:hRule="atLeast"/>
        </w:trPr>
        <w:tc>
          <w:tcPr>
            <w:tcW w:w="9615" w:type="dxa"/>
            <w:gridSpan w:val="5"/>
            <w:tcBorders>
              <w:top w:val="nil"/>
              <w:left w:val="nil"/>
              <w:bottom w:val="nil"/>
              <w:right w:val="nil"/>
            </w:tcBorders>
            <w:shd w:val="clear" w:color="auto" w:fill="auto"/>
            <w:noWrap/>
            <w:vAlign w:val="center"/>
          </w:tcPr>
          <w:p>
            <w:pPr>
              <w:pStyle w:val="3"/>
              <w:ind w:firstLine="0" w:firstLineChars="0"/>
              <w:rPr>
                <w:rFonts w:ascii="黑体" w:hAnsi="黑体" w:eastAsia="黑体" w:cs="宋体"/>
                <w:color w:val="000000"/>
                <w:kern w:val="0"/>
                <w:sz w:val="24"/>
                <w:szCs w:val="24"/>
              </w:rPr>
            </w:pPr>
            <w:r>
              <w:rPr>
                <w:rFonts w:hint="eastAsia" w:ascii="黑体" w:hAnsi="黑体" w:eastAsia="黑体" w:cs="宋体"/>
                <w:color w:val="000000"/>
                <w:kern w:val="0"/>
                <w:sz w:val="24"/>
                <w:szCs w:val="24"/>
              </w:rPr>
              <w:t>附件2</w:t>
            </w:r>
          </w:p>
          <w:p>
            <w:pPr>
              <w:widowControl/>
              <w:spacing w:before="0" w:after="0" w:line="240" w:lineRule="auto"/>
              <w:ind w:firstLine="0" w:firstLineChars="0"/>
              <w:jc w:val="left"/>
            </w:pPr>
          </w:p>
        </w:tc>
        <w:tc>
          <w:tcPr>
            <w:tcW w:w="3961" w:type="dxa"/>
            <w:tcBorders>
              <w:top w:val="nil"/>
              <w:left w:val="nil"/>
              <w:bottom w:val="nil"/>
              <w:right w:val="nil"/>
            </w:tcBorders>
            <w:shd w:val="clear" w:color="auto" w:fill="auto"/>
            <w:noWrap/>
            <w:vAlign w:val="center"/>
          </w:tcPr>
          <w:p>
            <w:pPr>
              <w:widowControl/>
              <w:spacing w:before="0" w:after="0" w:line="240" w:lineRule="auto"/>
              <w:ind w:firstLine="0" w:firstLineChars="0"/>
              <w:jc w:val="left"/>
              <w:rPr>
                <w:rFonts w:ascii="黑体" w:hAnsi="黑体" w:eastAsia="黑体" w:cs="宋体"/>
                <w:color w:val="000000"/>
                <w:kern w:val="0"/>
                <w:sz w:val="24"/>
                <w:szCs w:val="24"/>
              </w:rPr>
            </w:pPr>
          </w:p>
        </w:tc>
        <w:tc>
          <w:tcPr>
            <w:tcW w:w="1798" w:type="dxa"/>
            <w:tcBorders>
              <w:top w:val="nil"/>
              <w:left w:val="nil"/>
              <w:bottom w:val="nil"/>
              <w:right w:val="nil"/>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p>
        </w:tc>
        <w:tc>
          <w:tcPr>
            <w:tcW w:w="1093" w:type="dxa"/>
            <w:tcBorders>
              <w:top w:val="nil"/>
              <w:left w:val="nil"/>
              <w:bottom w:val="nil"/>
              <w:right w:val="nil"/>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p>
        </w:tc>
      </w:tr>
      <w:tr>
        <w:tblPrEx>
          <w:tblCellMar>
            <w:top w:w="0" w:type="dxa"/>
            <w:left w:w="108" w:type="dxa"/>
            <w:bottom w:w="0" w:type="dxa"/>
            <w:right w:w="108" w:type="dxa"/>
          </w:tblCellMar>
        </w:tblPrEx>
        <w:trPr>
          <w:gridAfter w:val="4"/>
          <w:wAfter w:w="7730" w:type="dxa"/>
          <w:trHeight w:val="840" w:hRule="atLeast"/>
        </w:trPr>
        <w:tc>
          <w:tcPr>
            <w:tcW w:w="8737" w:type="dxa"/>
            <w:gridSpan w:val="4"/>
            <w:tcBorders>
              <w:top w:val="nil"/>
              <w:left w:val="nil"/>
              <w:bottom w:val="nil"/>
              <w:right w:val="nil"/>
            </w:tcBorders>
            <w:shd w:val="clear" w:color="auto" w:fill="auto"/>
            <w:vAlign w:val="center"/>
          </w:tcPr>
          <w:p>
            <w:pPr>
              <w:widowControl/>
              <w:spacing w:before="0" w:after="0" w:line="240" w:lineRule="auto"/>
              <w:ind w:firstLine="0" w:firstLineChars="0"/>
              <w:jc w:val="center"/>
              <w:rPr>
                <w:rFonts w:ascii="黑体" w:hAnsi="黑体" w:eastAsia="黑体" w:cs="宋体"/>
                <w:b/>
                <w:bCs/>
                <w:color w:val="000000"/>
                <w:kern w:val="0"/>
                <w:sz w:val="24"/>
                <w:szCs w:val="24"/>
              </w:rPr>
            </w:pPr>
            <w:r>
              <w:rPr>
                <w:rFonts w:hint="eastAsia" w:ascii="黑体" w:hAnsi="黑体" w:eastAsia="黑体" w:cs="宋体"/>
                <w:b/>
                <w:bCs/>
                <w:color w:val="000000"/>
                <w:kern w:val="0"/>
                <w:sz w:val="24"/>
                <w:szCs w:val="24"/>
              </w:rPr>
              <w:t>“网络信息化综合运维服务”项目绩效目标</w:t>
            </w:r>
            <w:r>
              <w:rPr>
                <w:rFonts w:hint="eastAsia" w:ascii="黑体" w:hAnsi="黑体" w:eastAsia="黑体" w:cs="宋体"/>
                <w:b/>
                <w:bCs/>
                <w:color w:val="000000"/>
                <w:kern w:val="0"/>
                <w:sz w:val="24"/>
                <w:szCs w:val="24"/>
              </w:rPr>
              <w:br w:type="textWrapping"/>
            </w:r>
            <w:r>
              <w:rPr>
                <w:rFonts w:hint="eastAsia" w:ascii="黑体" w:hAnsi="黑体" w:eastAsia="黑体" w:cs="宋体"/>
                <w:b/>
                <w:bCs/>
                <w:color w:val="000000"/>
                <w:kern w:val="0"/>
                <w:sz w:val="24"/>
                <w:szCs w:val="24"/>
              </w:rPr>
              <w:t>完成情况及收支明细表</w:t>
            </w:r>
          </w:p>
        </w:tc>
      </w:tr>
      <w:tr>
        <w:tblPrEx>
          <w:tblCellMar>
            <w:top w:w="0" w:type="dxa"/>
            <w:left w:w="108" w:type="dxa"/>
            <w:bottom w:w="0" w:type="dxa"/>
            <w:right w:w="108" w:type="dxa"/>
          </w:tblCellMar>
        </w:tblPrEx>
        <w:trPr>
          <w:gridAfter w:val="4"/>
          <w:wAfter w:w="7730" w:type="dxa"/>
          <w:trHeight w:val="508" w:hRule="atLeast"/>
        </w:trPr>
        <w:tc>
          <w:tcPr>
            <w:tcW w:w="1885" w:type="dxa"/>
            <w:tcBorders>
              <w:top w:val="nil"/>
              <w:left w:val="nil"/>
              <w:bottom w:val="nil"/>
              <w:right w:val="nil"/>
            </w:tcBorders>
            <w:shd w:val="clear" w:color="auto" w:fill="auto"/>
            <w:noWrap/>
            <w:vAlign w:val="center"/>
          </w:tcPr>
          <w:p>
            <w:pPr>
              <w:widowControl/>
              <w:spacing w:before="0" w:after="0" w:line="240" w:lineRule="auto"/>
              <w:ind w:firstLine="0" w:firstLineChars="0"/>
              <w:jc w:val="center"/>
              <w:rPr>
                <w:rFonts w:ascii="黑体" w:hAnsi="黑体" w:eastAsia="黑体" w:cs="宋体"/>
                <w:b/>
                <w:bCs/>
                <w:color w:val="000000"/>
                <w:kern w:val="0"/>
                <w:sz w:val="24"/>
                <w:szCs w:val="24"/>
              </w:rPr>
            </w:pPr>
          </w:p>
        </w:tc>
        <w:tc>
          <w:tcPr>
            <w:tcW w:w="3061" w:type="dxa"/>
            <w:tcBorders>
              <w:top w:val="nil"/>
              <w:left w:val="nil"/>
              <w:bottom w:val="nil"/>
              <w:right w:val="nil"/>
            </w:tcBorders>
            <w:shd w:val="clear" w:color="auto" w:fill="auto"/>
            <w:noWrap/>
            <w:vAlign w:val="center"/>
          </w:tcPr>
          <w:p>
            <w:pPr>
              <w:widowControl/>
              <w:spacing w:before="0" w:after="0" w:line="240" w:lineRule="auto"/>
              <w:ind w:firstLine="0" w:firstLineChars="0"/>
              <w:jc w:val="left"/>
              <w:rPr>
                <w:rFonts w:eastAsia="Times New Roman"/>
                <w:kern w:val="0"/>
                <w:sz w:val="20"/>
                <w:szCs w:val="20"/>
              </w:rPr>
            </w:pPr>
          </w:p>
        </w:tc>
        <w:tc>
          <w:tcPr>
            <w:tcW w:w="1798" w:type="dxa"/>
            <w:tcBorders>
              <w:top w:val="nil"/>
              <w:left w:val="nil"/>
              <w:bottom w:val="nil"/>
              <w:right w:val="nil"/>
            </w:tcBorders>
            <w:shd w:val="clear" w:color="auto" w:fill="auto"/>
            <w:noWrap/>
            <w:vAlign w:val="center"/>
          </w:tcPr>
          <w:p>
            <w:pPr>
              <w:widowControl/>
              <w:spacing w:before="0" w:after="0" w:line="240" w:lineRule="auto"/>
              <w:ind w:firstLine="0" w:firstLineChars="0"/>
              <w:jc w:val="left"/>
              <w:rPr>
                <w:rFonts w:eastAsia="Times New Roman"/>
                <w:kern w:val="0"/>
                <w:sz w:val="20"/>
                <w:szCs w:val="20"/>
              </w:rPr>
            </w:pPr>
          </w:p>
        </w:tc>
        <w:tc>
          <w:tcPr>
            <w:tcW w:w="1993" w:type="dxa"/>
            <w:tcBorders>
              <w:top w:val="nil"/>
              <w:left w:val="nil"/>
              <w:bottom w:val="nil"/>
              <w:right w:val="nil"/>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单位：万元</w:t>
            </w:r>
          </w:p>
        </w:tc>
      </w:tr>
      <w:tr>
        <w:tblPrEx>
          <w:tblCellMar>
            <w:top w:w="0" w:type="dxa"/>
            <w:left w:w="108" w:type="dxa"/>
            <w:bottom w:w="0" w:type="dxa"/>
            <w:right w:w="108" w:type="dxa"/>
          </w:tblCellMar>
        </w:tblPrEx>
        <w:trPr>
          <w:gridAfter w:val="4"/>
          <w:wAfter w:w="7730" w:type="dxa"/>
          <w:trHeight w:val="496" w:hRule="atLeast"/>
        </w:trPr>
        <w:tc>
          <w:tcPr>
            <w:tcW w:w="1885" w:type="dxa"/>
            <w:vMerge w:val="restart"/>
            <w:tcBorders>
              <w:top w:val="single" w:color="auto" w:sz="4" w:space="0"/>
              <w:left w:val="single" w:color="auto" w:sz="4" w:space="0"/>
              <w:bottom w:val="single" w:color="auto" w:sz="4" w:space="0"/>
              <w:right w:val="single" w:color="auto" w:sz="4" w:space="0"/>
            </w:tcBorders>
            <w:shd w:val="clear" w:color="000000" w:fill="FFFFFF"/>
            <w:noWrap/>
            <w:textDirection w:val="tbRlV"/>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绩效目标完成情况</w:t>
            </w:r>
          </w:p>
        </w:tc>
        <w:tc>
          <w:tcPr>
            <w:tcW w:w="3061"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计划内容</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目标调整情况</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实际完成情况</w:t>
            </w:r>
          </w:p>
        </w:tc>
      </w:tr>
      <w:tr>
        <w:tblPrEx>
          <w:tblCellMar>
            <w:top w:w="0" w:type="dxa"/>
            <w:left w:w="108" w:type="dxa"/>
            <w:bottom w:w="0" w:type="dxa"/>
            <w:right w:w="108" w:type="dxa"/>
          </w:tblCellMar>
        </w:tblPrEx>
        <w:trPr>
          <w:gridAfter w:val="4"/>
          <w:wAfter w:w="7730" w:type="dxa"/>
          <w:trHeight w:val="496" w:hRule="atLeast"/>
        </w:trPr>
        <w:tc>
          <w:tcPr>
            <w:tcW w:w="1885" w:type="dxa"/>
            <w:vMerge w:val="continue"/>
            <w:tcBorders>
              <w:top w:val="single" w:color="auto" w:sz="4" w:space="0"/>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网络信息化综合运维服务</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r>
      <w:tr>
        <w:tblPrEx>
          <w:tblCellMar>
            <w:top w:w="0" w:type="dxa"/>
            <w:left w:w="108" w:type="dxa"/>
            <w:bottom w:w="0" w:type="dxa"/>
            <w:right w:w="108" w:type="dxa"/>
          </w:tblCellMar>
        </w:tblPrEx>
        <w:trPr>
          <w:gridAfter w:val="4"/>
          <w:wAfter w:w="7730" w:type="dxa"/>
          <w:trHeight w:val="496" w:hRule="atLeast"/>
        </w:trPr>
        <w:tc>
          <w:tcPr>
            <w:tcW w:w="1885" w:type="dxa"/>
            <w:vMerge w:val="continue"/>
            <w:tcBorders>
              <w:top w:val="single" w:color="auto" w:sz="4" w:space="0"/>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96" w:hRule="atLeast"/>
        </w:trPr>
        <w:tc>
          <w:tcPr>
            <w:tcW w:w="1885" w:type="dxa"/>
            <w:vMerge w:val="continue"/>
            <w:tcBorders>
              <w:top w:val="single" w:color="auto" w:sz="4" w:space="0"/>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96" w:hRule="atLeast"/>
        </w:trPr>
        <w:tc>
          <w:tcPr>
            <w:tcW w:w="1885" w:type="dxa"/>
            <w:vMerge w:val="continue"/>
            <w:tcBorders>
              <w:top w:val="single" w:color="auto" w:sz="4" w:space="0"/>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restart"/>
            <w:tcBorders>
              <w:top w:val="nil"/>
              <w:left w:val="single" w:color="auto" w:sz="4" w:space="0"/>
              <w:bottom w:val="single" w:color="auto" w:sz="4" w:space="0"/>
              <w:right w:val="single" w:color="auto" w:sz="4" w:space="0"/>
            </w:tcBorders>
            <w:shd w:val="clear" w:color="000000" w:fill="FFFFFF"/>
            <w:noWrap/>
            <w:textDirection w:val="tbRlV"/>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资金到位情况</w:t>
            </w: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项目资金</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预算批复数</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资金到位数</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财政拨款</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自筹资金</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其他资金</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合    计</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r>
      <w:tr>
        <w:tblPrEx>
          <w:tblCellMar>
            <w:top w:w="0" w:type="dxa"/>
            <w:left w:w="108" w:type="dxa"/>
            <w:bottom w:w="0" w:type="dxa"/>
            <w:right w:w="108" w:type="dxa"/>
          </w:tblCellMar>
        </w:tblPrEx>
        <w:trPr>
          <w:gridAfter w:val="4"/>
          <w:wAfter w:w="7730" w:type="dxa"/>
          <w:trHeight w:val="482" w:hRule="atLeast"/>
        </w:trPr>
        <w:tc>
          <w:tcPr>
            <w:tcW w:w="1885" w:type="dxa"/>
            <w:vMerge w:val="restart"/>
            <w:tcBorders>
              <w:top w:val="nil"/>
              <w:left w:val="single" w:color="auto" w:sz="4" w:space="0"/>
              <w:bottom w:val="single" w:color="auto" w:sz="4" w:space="0"/>
              <w:right w:val="single" w:color="auto" w:sz="4" w:space="0"/>
            </w:tcBorders>
            <w:shd w:val="clear" w:color="000000" w:fill="FFFFFF"/>
            <w:noWrap/>
            <w:textDirection w:val="tbRlV"/>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资金支出情况</w:t>
            </w: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项目预算支出明细</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预算批复数</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实际支出数</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网络信息化综合运维服务</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r>
      <w:tr>
        <w:tblPrEx>
          <w:tblCellMar>
            <w:top w:w="0" w:type="dxa"/>
            <w:left w:w="108" w:type="dxa"/>
            <w:bottom w:w="0" w:type="dxa"/>
            <w:right w:w="108" w:type="dxa"/>
          </w:tblCellMar>
        </w:tblPrEx>
        <w:trPr>
          <w:gridAfter w:val="4"/>
          <w:wAfter w:w="7730" w:type="dxa"/>
          <w:trHeight w:val="482" w:hRule="atLeast"/>
        </w:trPr>
        <w:tc>
          <w:tcPr>
            <w:tcW w:w="1885"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30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合计</w:t>
            </w:r>
          </w:p>
        </w:tc>
        <w:tc>
          <w:tcPr>
            <w:tcW w:w="179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c>
          <w:tcPr>
            <w:tcW w:w="1993"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right"/>
              <w:rPr>
                <w:rFonts w:ascii="宋体" w:hAnsi="宋体" w:eastAsia="宋体" w:cs="宋体"/>
                <w:color w:val="000000"/>
                <w:kern w:val="0"/>
                <w:sz w:val="18"/>
                <w:szCs w:val="18"/>
              </w:rPr>
            </w:pPr>
            <w:r>
              <w:rPr>
                <w:rFonts w:hint="eastAsia" w:ascii="宋体" w:hAnsi="宋体" w:eastAsia="宋体" w:cs="宋体"/>
                <w:color w:val="000000"/>
                <w:kern w:val="0"/>
                <w:sz w:val="18"/>
                <w:szCs w:val="18"/>
              </w:rPr>
              <w:t xml:space="preserve">13.232 </w:t>
            </w:r>
          </w:p>
        </w:tc>
      </w:tr>
    </w:tbl>
    <w:p>
      <w:pPr>
        <w:widowControl/>
        <w:spacing w:before="0" w:after="0" w:line="240" w:lineRule="auto"/>
        <w:ind w:firstLine="0" w:firstLineChars="0"/>
        <w:jc w:val="left"/>
        <w:rPr>
          <w:rFonts w:ascii="仿宋" w:hAnsi="仿宋" w:eastAsia="仿宋"/>
        </w:rPr>
      </w:pPr>
      <w:r>
        <w:rPr>
          <w:rFonts w:ascii="仿宋" w:hAnsi="仿宋" w:eastAsia="仿宋"/>
        </w:rPr>
        <w:br w:type="page"/>
      </w:r>
    </w:p>
    <w:p>
      <w:pPr>
        <w:widowControl/>
        <w:spacing w:before="0" w:after="0" w:line="240" w:lineRule="auto"/>
        <w:ind w:firstLine="0" w:firstLineChars="0"/>
        <w:jc w:val="left"/>
        <w:rPr>
          <w:rFonts w:ascii="黑体" w:hAnsi="黑体" w:eastAsia="黑体"/>
          <w:sz w:val="24"/>
          <w:szCs w:val="24"/>
        </w:rPr>
      </w:pPr>
      <w:r>
        <w:rPr>
          <w:rFonts w:hint="eastAsia" w:ascii="黑体" w:hAnsi="黑体" w:eastAsia="黑体"/>
          <w:sz w:val="24"/>
          <w:szCs w:val="24"/>
        </w:rPr>
        <w:t>附件</w:t>
      </w:r>
      <w:r>
        <w:rPr>
          <w:rFonts w:ascii="黑体" w:hAnsi="黑体" w:eastAsia="黑体"/>
          <w:sz w:val="24"/>
          <w:szCs w:val="24"/>
        </w:rPr>
        <w:t>3</w:t>
      </w:r>
    </w:p>
    <w:tbl>
      <w:tblPr>
        <w:tblStyle w:val="17"/>
        <w:tblW w:w="9356" w:type="dxa"/>
        <w:tblInd w:w="-176" w:type="dxa"/>
        <w:tblLayout w:type="autofit"/>
        <w:tblCellMar>
          <w:top w:w="0" w:type="dxa"/>
          <w:left w:w="108" w:type="dxa"/>
          <w:bottom w:w="0" w:type="dxa"/>
          <w:right w:w="108" w:type="dxa"/>
        </w:tblCellMar>
      </w:tblPr>
      <w:tblGrid>
        <w:gridCol w:w="710"/>
        <w:gridCol w:w="657"/>
        <w:gridCol w:w="708"/>
        <w:gridCol w:w="567"/>
        <w:gridCol w:w="761"/>
        <w:gridCol w:w="567"/>
        <w:gridCol w:w="850"/>
        <w:gridCol w:w="1701"/>
        <w:gridCol w:w="2835"/>
      </w:tblGrid>
      <w:tr>
        <w:tblPrEx>
          <w:tblCellMar>
            <w:top w:w="0" w:type="dxa"/>
            <w:left w:w="108" w:type="dxa"/>
            <w:bottom w:w="0" w:type="dxa"/>
            <w:right w:w="108" w:type="dxa"/>
          </w:tblCellMar>
        </w:tblPrEx>
        <w:trPr>
          <w:trHeight w:val="388" w:hRule="atLeast"/>
          <w:tblHeader/>
        </w:trPr>
        <w:tc>
          <w:tcPr>
            <w:tcW w:w="710" w:type="dxa"/>
            <w:tcBorders>
              <w:top w:val="nil"/>
              <w:left w:val="nil"/>
              <w:bottom w:val="nil"/>
              <w:right w:val="nil"/>
            </w:tcBorders>
            <w:shd w:val="clear" w:color="auto" w:fill="auto"/>
            <w:noWrap/>
            <w:vAlign w:val="center"/>
          </w:tcPr>
          <w:p>
            <w:pPr>
              <w:widowControl/>
              <w:spacing w:before="0" w:after="0" w:line="240" w:lineRule="auto"/>
              <w:ind w:firstLine="0" w:firstLineChars="0"/>
              <w:jc w:val="left"/>
              <w:rPr>
                <w:rFonts w:ascii="黑体" w:hAnsi="黑体" w:eastAsia="黑体" w:cs="宋体"/>
                <w:color w:val="000000"/>
                <w:kern w:val="0"/>
                <w:sz w:val="24"/>
                <w:szCs w:val="24"/>
              </w:rPr>
            </w:pPr>
          </w:p>
        </w:tc>
        <w:tc>
          <w:tcPr>
            <w:tcW w:w="657" w:type="dxa"/>
            <w:tcBorders>
              <w:top w:val="nil"/>
              <w:left w:val="nil"/>
              <w:bottom w:val="nil"/>
              <w:right w:val="nil"/>
            </w:tcBorders>
            <w:shd w:val="clear" w:color="auto" w:fill="auto"/>
            <w:noWrap/>
            <w:vAlign w:val="bottom"/>
          </w:tcPr>
          <w:p>
            <w:pPr>
              <w:widowControl/>
              <w:spacing w:before="0" w:after="0" w:line="240" w:lineRule="auto"/>
              <w:ind w:firstLine="0" w:firstLineChars="0"/>
              <w:jc w:val="left"/>
              <w:rPr>
                <w:rFonts w:ascii="黑体" w:hAnsi="黑体" w:eastAsia="黑体" w:cs="宋体"/>
                <w:color w:val="000000"/>
                <w:kern w:val="0"/>
                <w:sz w:val="24"/>
                <w:szCs w:val="24"/>
              </w:rPr>
            </w:pPr>
          </w:p>
        </w:tc>
        <w:tc>
          <w:tcPr>
            <w:tcW w:w="708" w:type="dxa"/>
            <w:tcBorders>
              <w:top w:val="nil"/>
              <w:left w:val="nil"/>
              <w:bottom w:val="nil"/>
              <w:right w:val="nil"/>
            </w:tcBorders>
            <w:shd w:val="clear" w:color="auto" w:fill="auto"/>
            <w:noWrap/>
            <w:vAlign w:val="bottom"/>
          </w:tcPr>
          <w:p>
            <w:pPr>
              <w:widowControl/>
              <w:spacing w:before="0" w:after="0" w:line="240" w:lineRule="auto"/>
              <w:ind w:firstLine="0" w:firstLineChars="0"/>
              <w:jc w:val="left"/>
              <w:rPr>
                <w:rFonts w:eastAsia="Times New Roman"/>
                <w:kern w:val="0"/>
                <w:sz w:val="20"/>
                <w:szCs w:val="20"/>
              </w:rPr>
            </w:pPr>
          </w:p>
        </w:tc>
        <w:tc>
          <w:tcPr>
            <w:tcW w:w="567" w:type="dxa"/>
            <w:tcBorders>
              <w:top w:val="nil"/>
              <w:left w:val="nil"/>
              <w:bottom w:val="nil"/>
              <w:right w:val="nil"/>
            </w:tcBorders>
            <w:shd w:val="clear" w:color="auto" w:fill="auto"/>
            <w:noWrap/>
            <w:vAlign w:val="bottom"/>
          </w:tcPr>
          <w:p>
            <w:pPr>
              <w:widowControl/>
              <w:spacing w:before="0" w:after="0" w:line="240" w:lineRule="auto"/>
              <w:ind w:firstLine="0" w:firstLineChars="0"/>
              <w:jc w:val="left"/>
              <w:rPr>
                <w:rFonts w:eastAsia="Times New Roman"/>
                <w:kern w:val="0"/>
                <w:sz w:val="20"/>
                <w:szCs w:val="20"/>
              </w:rPr>
            </w:pPr>
          </w:p>
        </w:tc>
        <w:tc>
          <w:tcPr>
            <w:tcW w:w="761" w:type="dxa"/>
            <w:tcBorders>
              <w:top w:val="nil"/>
              <w:left w:val="nil"/>
              <w:bottom w:val="nil"/>
              <w:right w:val="nil"/>
            </w:tcBorders>
            <w:shd w:val="clear" w:color="auto" w:fill="auto"/>
            <w:noWrap/>
            <w:vAlign w:val="bottom"/>
          </w:tcPr>
          <w:p>
            <w:pPr>
              <w:widowControl/>
              <w:spacing w:before="0" w:after="0" w:line="240" w:lineRule="auto"/>
              <w:ind w:firstLine="0" w:firstLineChars="0"/>
              <w:jc w:val="left"/>
              <w:rPr>
                <w:rFonts w:eastAsia="Times New Roman"/>
                <w:kern w:val="0"/>
                <w:sz w:val="20"/>
                <w:szCs w:val="20"/>
              </w:rPr>
            </w:pPr>
          </w:p>
        </w:tc>
        <w:tc>
          <w:tcPr>
            <w:tcW w:w="567" w:type="dxa"/>
            <w:tcBorders>
              <w:top w:val="nil"/>
              <w:left w:val="nil"/>
              <w:bottom w:val="nil"/>
              <w:right w:val="nil"/>
            </w:tcBorders>
            <w:shd w:val="clear" w:color="auto" w:fill="auto"/>
            <w:noWrap/>
            <w:vAlign w:val="bottom"/>
          </w:tcPr>
          <w:p>
            <w:pPr>
              <w:widowControl/>
              <w:spacing w:before="0" w:after="0" w:line="240" w:lineRule="auto"/>
              <w:ind w:firstLine="0" w:firstLineChars="0"/>
              <w:jc w:val="left"/>
              <w:rPr>
                <w:rFonts w:eastAsia="Times New Roman"/>
                <w:kern w:val="0"/>
                <w:sz w:val="20"/>
                <w:szCs w:val="20"/>
              </w:rPr>
            </w:pPr>
          </w:p>
        </w:tc>
        <w:tc>
          <w:tcPr>
            <w:tcW w:w="850" w:type="dxa"/>
            <w:tcBorders>
              <w:top w:val="nil"/>
              <w:left w:val="nil"/>
              <w:bottom w:val="nil"/>
              <w:right w:val="nil"/>
            </w:tcBorders>
            <w:shd w:val="clear" w:color="auto" w:fill="auto"/>
            <w:vAlign w:val="bottom"/>
          </w:tcPr>
          <w:p>
            <w:pPr>
              <w:widowControl/>
              <w:spacing w:before="0" w:after="0" w:line="240" w:lineRule="auto"/>
              <w:ind w:firstLine="0" w:firstLineChars="0"/>
              <w:jc w:val="left"/>
              <w:rPr>
                <w:rFonts w:eastAsia="Times New Roman"/>
                <w:kern w:val="0"/>
                <w:sz w:val="20"/>
                <w:szCs w:val="20"/>
              </w:rPr>
            </w:pPr>
          </w:p>
        </w:tc>
        <w:tc>
          <w:tcPr>
            <w:tcW w:w="1701" w:type="dxa"/>
            <w:tcBorders>
              <w:top w:val="nil"/>
              <w:left w:val="nil"/>
              <w:bottom w:val="nil"/>
              <w:right w:val="nil"/>
            </w:tcBorders>
            <w:shd w:val="clear" w:color="auto" w:fill="auto"/>
            <w:vAlign w:val="bottom"/>
          </w:tcPr>
          <w:p>
            <w:pPr>
              <w:widowControl/>
              <w:spacing w:before="0" w:after="0" w:line="240" w:lineRule="auto"/>
              <w:ind w:firstLine="0" w:firstLineChars="0"/>
              <w:jc w:val="left"/>
              <w:rPr>
                <w:rFonts w:eastAsia="Times New Roman"/>
                <w:kern w:val="0"/>
                <w:sz w:val="20"/>
                <w:szCs w:val="20"/>
              </w:rPr>
            </w:pPr>
          </w:p>
        </w:tc>
        <w:tc>
          <w:tcPr>
            <w:tcW w:w="2835" w:type="dxa"/>
            <w:tcBorders>
              <w:top w:val="nil"/>
              <w:left w:val="nil"/>
              <w:bottom w:val="nil"/>
              <w:right w:val="nil"/>
            </w:tcBorders>
            <w:shd w:val="clear" w:color="auto" w:fill="auto"/>
            <w:vAlign w:val="bottom"/>
          </w:tcPr>
          <w:p>
            <w:pPr>
              <w:widowControl/>
              <w:spacing w:before="0" w:after="0" w:line="240" w:lineRule="auto"/>
              <w:ind w:firstLine="0" w:firstLineChars="0"/>
              <w:jc w:val="left"/>
              <w:rPr>
                <w:rFonts w:eastAsia="Times New Roman"/>
                <w:kern w:val="0"/>
                <w:sz w:val="20"/>
                <w:szCs w:val="20"/>
              </w:rPr>
            </w:pPr>
          </w:p>
        </w:tc>
      </w:tr>
      <w:tr>
        <w:tblPrEx>
          <w:tblCellMar>
            <w:top w:w="0" w:type="dxa"/>
            <w:left w:w="108" w:type="dxa"/>
            <w:bottom w:w="0" w:type="dxa"/>
            <w:right w:w="108" w:type="dxa"/>
          </w:tblCellMar>
        </w:tblPrEx>
        <w:trPr>
          <w:trHeight w:val="583" w:hRule="atLeast"/>
          <w:tblHeader/>
        </w:trPr>
        <w:tc>
          <w:tcPr>
            <w:tcW w:w="9356" w:type="dxa"/>
            <w:gridSpan w:val="9"/>
            <w:tcBorders>
              <w:top w:val="nil"/>
              <w:left w:val="nil"/>
              <w:bottom w:val="nil"/>
              <w:right w:val="nil"/>
            </w:tcBorders>
            <w:shd w:val="clear" w:color="auto" w:fill="auto"/>
            <w:noWrap/>
            <w:vAlign w:val="center"/>
          </w:tcPr>
          <w:p>
            <w:pPr>
              <w:widowControl/>
              <w:spacing w:before="0" w:after="0" w:line="240" w:lineRule="auto"/>
              <w:ind w:firstLine="0" w:firstLineChars="0"/>
              <w:jc w:val="center"/>
              <w:rPr>
                <w:rFonts w:ascii="黑体" w:hAnsi="黑体" w:eastAsia="黑体" w:cs="宋体"/>
                <w:b/>
                <w:bCs/>
                <w:color w:val="000000"/>
                <w:kern w:val="0"/>
                <w:sz w:val="24"/>
                <w:szCs w:val="24"/>
              </w:rPr>
            </w:pPr>
            <w:r>
              <w:rPr>
                <w:rFonts w:hint="eastAsia" w:ascii="黑体" w:hAnsi="黑体" w:eastAsia="黑体" w:cs="宋体"/>
                <w:b/>
                <w:bCs/>
                <w:color w:val="000000"/>
                <w:kern w:val="0"/>
                <w:sz w:val="24"/>
                <w:szCs w:val="24"/>
              </w:rPr>
              <w:t>项目支出绩效评价指标体系</w:t>
            </w:r>
          </w:p>
        </w:tc>
      </w:tr>
      <w:tr>
        <w:tblPrEx>
          <w:tblCellMar>
            <w:top w:w="0" w:type="dxa"/>
            <w:left w:w="108" w:type="dxa"/>
            <w:bottom w:w="0" w:type="dxa"/>
            <w:right w:w="108" w:type="dxa"/>
          </w:tblCellMar>
        </w:tblPrEx>
        <w:trPr>
          <w:trHeight w:val="457" w:hRule="atLeast"/>
          <w:tblHeader/>
        </w:trPr>
        <w:tc>
          <w:tcPr>
            <w:tcW w:w="710"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一级</w:t>
            </w:r>
          </w:p>
        </w:tc>
        <w:tc>
          <w:tcPr>
            <w:tcW w:w="657"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分值</w:t>
            </w:r>
          </w:p>
        </w:tc>
        <w:tc>
          <w:tcPr>
            <w:tcW w:w="70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二级</w:t>
            </w:r>
          </w:p>
        </w:tc>
        <w:tc>
          <w:tcPr>
            <w:tcW w:w="567"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分值</w:t>
            </w:r>
          </w:p>
        </w:tc>
        <w:tc>
          <w:tcPr>
            <w:tcW w:w="761"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三级</w:t>
            </w:r>
          </w:p>
        </w:tc>
        <w:tc>
          <w:tcPr>
            <w:tcW w:w="567"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分值</w:t>
            </w:r>
          </w:p>
        </w:tc>
        <w:tc>
          <w:tcPr>
            <w:tcW w:w="850" w:type="dxa"/>
            <w:tcBorders>
              <w:top w:val="single" w:color="auto" w:sz="4" w:space="0"/>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评价组打分</w:t>
            </w:r>
          </w:p>
        </w:tc>
        <w:tc>
          <w:tcPr>
            <w:tcW w:w="1701" w:type="dxa"/>
            <w:tcBorders>
              <w:top w:val="single" w:color="auto" w:sz="4" w:space="0"/>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扣分原因</w:t>
            </w:r>
          </w:p>
        </w:tc>
        <w:tc>
          <w:tcPr>
            <w:tcW w:w="2835" w:type="dxa"/>
            <w:tcBorders>
              <w:top w:val="single" w:color="auto" w:sz="4" w:space="0"/>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指标解释</w:t>
            </w:r>
          </w:p>
        </w:tc>
      </w:tr>
      <w:tr>
        <w:tblPrEx>
          <w:tblCellMar>
            <w:top w:w="0" w:type="dxa"/>
            <w:left w:w="108" w:type="dxa"/>
            <w:bottom w:w="0" w:type="dxa"/>
            <w:right w:w="108" w:type="dxa"/>
          </w:tblCellMar>
        </w:tblPrEx>
        <w:trPr>
          <w:trHeight w:val="739" w:hRule="atLeast"/>
        </w:trPr>
        <w:tc>
          <w:tcPr>
            <w:tcW w:w="710"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决策</w:t>
            </w:r>
          </w:p>
        </w:tc>
        <w:tc>
          <w:tcPr>
            <w:tcW w:w="657"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15</w:t>
            </w:r>
          </w:p>
        </w:tc>
        <w:tc>
          <w:tcPr>
            <w:tcW w:w="708" w:type="dxa"/>
            <w:vMerge w:val="restart"/>
            <w:tcBorders>
              <w:top w:val="nil"/>
              <w:left w:val="single" w:color="auto" w:sz="4" w:space="0"/>
              <w:bottom w:val="nil"/>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项目立项</w:t>
            </w:r>
          </w:p>
        </w:tc>
        <w:tc>
          <w:tcPr>
            <w:tcW w:w="567" w:type="dxa"/>
            <w:vMerge w:val="restart"/>
            <w:tcBorders>
              <w:top w:val="nil"/>
              <w:left w:val="single" w:color="auto" w:sz="4" w:space="0"/>
              <w:bottom w:val="nil"/>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76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立项依据充分性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b/>
                <w:bCs/>
                <w:color w:val="000000"/>
                <w:kern w:val="0"/>
                <w:sz w:val="18"/>
                <w:szCs w:val="18"/>
              </w:rPr>
            </w:pPr>
            <w:r>
              <w:rPr>
                <w:rFonts w:hint="eastAsia" w:ascii="宋体" w:hAnsi="宋体" w:eastAsia="宋体" w:cs="宋体"/>
                <w:b/>
                <w:bCs/>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项目立项是否符合法律法规、相关政策、发展规划以及部门职责，用以反映和考核项目立项依据情况。</w:t>
            </w:r>
          </w:p>
        </w:tc>
      </w:tr>
      <w:tr>
        <w:tblPrEx>
          <w:tblCellMar>
            <w:top w:w="0" w:type="dxa"/>
            <w:left w:w="108" w:type="dxa"/>
            <w:bottom w:w="0" w:type="dxa"/>
            <w:right w:w="108" w:type="dxa"/>
          </w:tblCellMar>
        </w:tblPrEx>
        <w:trPr>
          <w:trHeight w:val="544"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nil"/>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nil"/>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立项程序规范性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项目申请、设立过程是否符合相关要求，用以反映和考核项目立项的规范情况。</w:t>
            </w:r>
          </w:p>
        </w:tc>
      </w:tr>
      <w:tr>
        <w:tblPrEx>
          <w:tblCellMar>
            <w:top w:w="0" w:type="dxa"/>
            <w:left w:w="108" w:type="dxa"/>
            <w:bottom w:w="0" w:type="dxa"/>
            <w:right w:w="108" w:type="dxa"/>
          </w:tblCellMar>
        </w:tblPrEx>
        <w:trPr>
          <w:trHeight w:val="701"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绩效目标</w:t>
            </w:r>
          </w:p>
        </w:tc>
        <w:tc>
          <w:tcPr>
            <w:tcW w:w="567" w:type="dxa"/>
            <w:vMerge w:val="restart"/>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76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绩效目标合理性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项目所设定的绩效目标是否依据充分，是否符合客观实际，用以反映和考核项目绩效目标与项目实施的相符情况。</w:t>
            </w:r>
          </w:p>
        </w:tc>
      </w:tr>
      <w:tr>
        <w:tblPrEx>
          <w:tblCellMar>
            <w:top w:w="0" w:type="dxa"/>
            <w:left w:w="108" w:type="dxa"/>
            <w:bottom w:w="0" w:type="dxa"/>
            <w:right w:w="108" w:type="dxa"/>
          </w:tblCellMar>
        </w:tblPrEx>
        <w:trPr>
          <w:trHeight w:val="730"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single" w:color="auto" w:sz="4" w:space="0"/>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single" w:color="auto" w:sz="4" w:space="0"/>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绩效指标明确性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绩效指标设置缺乏可量化的指标，绩效目标设定细化程度、可衡量性不足。</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依据绩效目标设定的绩效指标是否清晰、细化、可衡量等，用以反映和考核项目绩效目标的明细化情况。</w:t>
            </w:r>
          </w:p>
        </w:tc>
      </w:tr>
      <w:tr>
        <w:tblPrEx>
          <w:tblCellMar>
            <w:top w:w="0" w:type="dxa"/>
            <w:left w:w="108" w:type="dxa"/>
            <w:bottom w:w="0" w:type="dxa"/>
            <w:right w:w="108" w:type="dxa"/>
          </w:tblCellMar>
        </w:tblPrEx>
        <w:trPr>
          <w:trHeight w:val="701"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资金投入</w:t>
            </w:r>
          </w:p>
        </w:tc>
        <w:tc>
          <w:tcPr>
            <w:tcW w:w="567"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预算编制科学性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项目预算编制是否经过科学论证、有明确标准，资金额度与年度目标是否相适应，用以反映和考核项目预算编制的科学性、合理性情况。</w:t>
            </w:r>
          </w:p>
        </w:tc>
      </w:tr>
      <w:tr>
        <w:tblPrEx>
          <w:tblCellMar>
            <w:top w:w="0" w:type="dxa"/>
            <w:left w:w="108" w:type="dxa"/>
            <w:bottom w:w="0" w:type="dxa"/>
            <w:right w:w="108" w:type="dxa"/>
          </w:tblCellMar>
        </w:tblPrEx>
        <w:trPr>
          <w:trHeight w:val="701"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资金分配合理性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项目预算资金分配是否有测算依据，与补助单位或地方实际是否相适应，用以反映和考核项目预算资金分配的科学性、合理性情况。</w:t>
            </w:r>
          </w:p>
        </w:tc>
      </w:tr>
      <w:tr>
        <w:tblPrEx>
          <w:tblCellMar>
            <w:top w:w="0" w:type="dxa"/>
            <w:left w:w="108" w:type="dxa"/>
            <w:bottom w:w="0" w:type="dxa"/>
            <w:right w:w="108" w:type="dxa"/>
          </w:tblCellMar>
        </w:tblPrEx>
        <w:trPr>
          <w:trHeight w:val="651" w:hRule="atLeast"/>
        </w:trPr>
        <w:tc>
          <w:tcPr>
            <w:tcW w:w="710"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过程</w:t>
            </w:r>
          </w:p>
        </w:tc>
        <w:tc>
          <w:tcPr>
            <w:tcW w:w="657"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25</w:t>
            </w:r>
          </w:p>
        </w:tc>
        <w:tc>
          <w:tcPr>
            <w:tcW w:w="708"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资金管理</w:t>
            </w:r>
          </w:p>
        </w:tc>
        <w:tc>
          <w:tcPr>
            <w:tcW w:w="567"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15</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资金到位率</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实际到位资金与预算资金的比率，用以反映和考核资金落实情况对项目实施的总体保障程度。</w:t>
            </w:r>
          </w:p>
        </w:tc>
      </w:tr>
      <w:tr>
        <w:tblPrEx>
          <w:tblCellMar>
            <w:top w:w="0" w:type="dxa"/>
            <w:left w:w="108" w:type="dxa"/>
            <w:bottom w:w="0" w:type="dxa"/>
            <w:right w:w="108" w:type="dxa"/>
          </w:tblCellMar>
        </w:tblPrEx>
        <w:trPr>
          <w:trHeight w:val="593" w:hRule="atLeast"/>
        </w:trPr>
        <w:tc>
          <w:tcPr>
            <w:tcW w:w="710"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预算执行率</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4</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rPr>
                <w:rFonts w:ascii="宋体" w:hAnsi="宋体" w:eastAsia="宋体" w:cs="宋体"/>
                <w:color w:val="000000"/>
                <w:kern w:val="0"/>
                <w:sz w:val="18"/>
                <w:szCs w:val="18"/>
              </w:rPr>
            </w:pPr>
            <w:r>
              <w:rPr>
                <w:rFonts w:hint="eastAsia" w:ascii="宋体" w:hAnsi="宋体" w:eastAsia="宋体" w:cs="宋体"/>
                <w:color w:val="000000"/>
                <w:kern w:val="0"/>
                <w:sz w:val="18"/>
                <w:szCs w:val="18"/>
              </w:rPr>
              <w:t>项目预算总金额与合同约定总金额一致，但二者明细金额不一致。</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项目预算资金是否按照计划执行，用以反映或考核项目预算执行情况。</w:t>
            </w:r>
          </w:p>
        </w:tc>
      </w:tr>
      <w:tr>
        <w:tblPrEx>
          <w:tblCellMar>
            <w:top w:w="0" w:type="dxa"/>
            <w:left w:w="108" w:type="dxa"/>
            <w:bottom w:w="0" w:type="dxa"/>
            <w:right w:w="108" w:type="dxa"/>
          </w:tblCellMar>
        </w:tblPrEx>
        <w:trPr>
          <w:trHeight w:val="739" w:hRule="atLeast"/>
        </w:trPr>
        <w:tc>
          <w:tcPr>
            <w:tcW w:w="710"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资金使用合规性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项目资金使用是否符合相关的财务管理制度规定，用以反映和考核项目资金的规范运行情况。</w:t>
            </w:r>
          </w:p>
        </w:tc>
      </w:tr>
      <w:tr>
        <w:tblPrEx>
          <w:tblCellMar>
            <w:top w:w="0" w:type="dxa"/>
            <w:left w:w="108" w:type="dxa"/>
            <w:bottom w:w="0" w:type="dxa"/>
            <w:right w:w="108" w:type="dxa"/>
          </w:tblCellMar>
        </w:tblPrEx>
        <w:trPr>
          <w:trHeight w:val="730" w:hRule="atLeast"/>
        </w:trPr>
        <w:tc>
          <w:tcPr>
            <w:tcW w:w="710"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组织实施</w:t>
            </w:r>
          </w:p>
        </w:tc>
        <w:tc>
          <w:tcPr>
            <w:tcW w:w="567"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管理制度健全性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4</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应建立健全项目管理制度。</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项目实施单位的财务和业务管理制度是否健全，用以反映和考核财务和业务管理制度对项目顺利实施的保障情况。</w:t>
            </w:r>
          </w:p>
        </w:tc>
      </w:tr>
      <w:tr>
        <w:tblPrEx>
          <w:tblCellMar>
            <w:top w:w="0" w:type="dxa"/>
            <w:left w:w="108" w:type="dxa"/>
            <w:bottom w:w="0" w:type="dxa"/>
            <w:right w:w="108" w:type="dxa"/>
          </w:tblCellMar>
        </w:tblPrEx>
        <w:trPr>
          <w:trHeight w:val="573" w:hRule="atLeast"/>
        </w:trPr>
        <w:tc>
          <w:tcPr>
            <w:tcW w:w="710"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制度执行有效性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项目实施是否符合相关管理规定，用以反映和考核相关管理制度的有效执行情况。</w:t>
            </w:r>
          </w:p>
        </w:tc>
      </w:tr>
      <w:tr>
        <w:tblPrEx>
          <w:tblCellMar>
            <w:top w:w="0" w:type="dxa"/>
            <w:left w:w="108" w:type="dxa"/>
            <w:bottom w:w="0" w:type="dxa"/>
            <w:right w:w="108" w:type="dxa"/>
          </w:tblCellMar>
        </w:tblPrEx>
        <w:trPr>
          <w:trHeight w:val="467" w:hRule="atLeast"/>
        </w:trPr>
        <w:tc>
          <w:tcPr>
            <w:tcW w:w="710"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产出</w:t>
            </w:r>
          </w:p>
        </w:tc>
        <w:tc>
          <w:tcPr>
            <w:tcW w:w="657"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30</w:t>
            </w:r>
          </w:p>
        </w:tc>
        <w:tc>
          <w:tcPr>
            <w:tcW w:w="708"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产出数量</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实际完成率</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项目实施的实际产出数与计划产出数的比率，用以反映和考核项目产出数量目标的实现程度。</w:t>
            </w:r>
          </w:p>
        </w:tc>
      </w:tr>
      <w:tr>
        <w:tblPrEx>
          <w:tblCellMar>
            <w:top w:w="0" w:type="dxa"/>
            <w:left w:w="108" w:type="dxa"/>
            <w:bottom w:w="0" w:type="dxa"/>
            <w:right w:w="108" w:type="dxa"/>
          </w:tblCellMar>
        </w:tblPrEx>
        <w:trPr>
          <w:trHeight w:val="720"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tcBorders>
              <w:top w:val="nil"/>
              <w:left w:val="nil"/>
              <w:bottom w:val="nil"/>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产出质量</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761" w:type="dxa"/>
            <w:tcBorders>
              <w:top w:val="nil"/>
              <w:left w:val="nil"/>
              <w:bottom w:val="nil"/>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质量达标率</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nil"/>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项目完成的质量达标产出数与实际产出数的比率，用以反映和考核项目产出质量目标的实现程度。</w:t>
            </w:r>
          </w:p>
        </w:tc>
      </w:tr>
      <w:tr>
        <w:tblPrEx>
          <w:tblCellMar>
            <w:top w:w="0" w:type="dxa"/>
            <w:left w:w="108" w:type="dxa"/>
            <w:bottom w:w="0" w:type="dxa"/>
            <w:right w:w="108" w:type="dxa"/>
          </w:tblCellMar>
        </w:tblPrEx>
        <w:trPr>
          <w:trHeight w:val="642"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产出时效</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761" w:type="dxa"/>
            <w:tcBorders>
              <w:top w:val="single" w:color="auto" w:sz="4" w:space="0"/>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完成及时性</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single" w:color="auto" w:sz="4" w:space="0"/>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项目实际完成时间与计划完成时间的比较，用以反映和考核项目产出时效目标的实现程度。</w:t>
            </w:r>
          </w:p>
        </w:tc>
      </w:tr>
      <w:tr>
        <w:tblPrEx>
          <w:tblCellMar>
            <w:top w:w="0" w:type="dxa"/>
            <w:left w:w="108" w:type="dxa"/>
            <w:bottom w:w="0" w:type="dxa"/>
            <w:right w:w="108" w:type="dxa"/>
          </w:tblCellMar>
        </w:tblPrEx>
        <w:trPr>
          <w:trHeight w:val="720"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产出成本</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成本节约率</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　</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完成项目计划工作目标的实际节约成本与计划成本的比率，用以反映和考核项目的成本节约程度。</w:t>
            </w:r>
          </w:p>
        </w:tc>
      </w:tr>
      <w:tr>
        <w:tblPrEx>
          <w:tblCellMar>
            <w:top w:w="0" w:type="dxa"/>
            <w:left w:w="108" w:type="dxa"/>
            <w:bottom w:w="0" w:type="dxa"/>
            <w:right w:w="108" w:type="dxa"/>
          </w:tblCellMar>
        </w:tblPrEx>
        <w:trPr>
          <w:trHeight w:val="603" w:hRule="atLeast"/>
        </w:trPr>
        <w:tc>
          <w:tcPr>
            <w:tcW w:w="710"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效益</w:t>
            </w:r>
          </w:p>
        </w:tc>
        <w:tc>
          <w:tcPr>
            <w:tcW w:w="657" w:type="dxa"/>
            <w:vMerge w:val="restart"/>
            <w:tcBorders>
              <w:top w:val="nil"/>
              <w:left w:val="single" w:color="auto" w:sz="4" w:space="0"/>
              <w:bottom w:val="single" w:color="000000"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30</w:t>
            </w:r>
          </w:p>
        </w:tc>
        <w:tc>
          <w:tcPr>
            <w:tcW w:w="708" w:type="dxa"/>
            <w:vMerge w:val="restart"/>
            <w:tcBorders>
              <w:top w:val="nil"/>
              <w:left w:val="single" w:color="auto" w:sz="4" w:space="0"/>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项目实施效益</w:t>
            </w:r>
          </w:p>
        </w:tc>
        <w:tc>
          <w:tcPr>
            <w:tcW w:w="567" w:type="dxa"/>
            <w:vMerge w:val="restart"/>
            <w:tcBorders>
              <w:top w:val="nil"/>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20</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经济效益</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4</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间接地产生经济效益，但是体现效果不充分。</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项目实施是否产生直接或间接的经济效益</w:t>
            </w:r>
          </w:p>
        </w:tc>
      </w:tr>
      <w:tr>
        <w:tblPrEx>
          <w:tblCellMar>
            <w:top w:w="0" w:type="dxa"/>
            <w:left w:w="108" w:type="dxa"/>
            <w:bottom w:w="0" w:type="dxa"/>
            <w:right w:w="108" w:type="dxa"/>
          </w:tblCellMar>
        </w:tblPrEx>
        <w:trPr>
          <w:trHeight w:val="603"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社会效益</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5</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4</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体现依据不够充分。</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项目实施是否产生直接或间接社会效益</w:t>
            </w:r>
          </w:p>
        </w:tc>
      </w:tr>
      <w:tr>
        <w:tblPrEx>
          <w:tblCellMar>
            <w:top w:w="0" w:type="dxa"/>
            <w:left w:w="108" w:type="dxa"/>
            <w:bottom w:w="0" w:type="dxa"/>
            <w:right w:w="108" w:type="dxa"/>
          </w:tblCellMar>
        </w:tblPrEx>
        <w:trPr>
          <w:trHeight w:val="603" w:hRule="atLeast"/>
        </w:trPr>
        <w:tc>
          <w:tcPr>
            <w:tcW w:w="710"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000000"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56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6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可持续影响</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850"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9</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具有一定的可持续性影响。</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项目实施是否具有可持续影响</w:t>
            </w:r>
          </w:p>
        </w:tc>
      </w:tr>
      <w:tr>
        <w:tblPrEx>
          <w:tblCellMar>
            <w:top w:w="0" w:type="dxa"/>
            <w:left w:w="108" w:type="dxa"/>
            <w:bottom w:w="0" w:type="dxa"/>
            <w:right w:w="108" w:type="dxa"/>
          </w:tblCellMar>
        </w:tblPrEx>
        <w:trPr>
          <w:trHeight w:val="1451" w:hRule="atLeast"/>
        </w:trPr>
        <w:tc>
          <w:tcPr>
            <w:tcW w:w="710"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657" w:type="dxa"/>
            <w:vMerge w:val="continue"/>
            <w:tcBorders>
              <w:top w:val="nil"/>
              <w:left w:val="single" w:color="auto" w:sz="4" w:space="0"/>
              <w:bottom w:val="single" w:color="auto" w:sz="4" w:space="0"/>
              <w:right w:val="single" w:color="auto" w:sz="4" w:space="0"/>
            </w:tcBorders>
            <w:vAlign w:val="center"/>
          </w:tcPr>
          <w:p>
            <w:pPr>
              <w:widowControl/>
              <w:spacing w:before="0" w:after="0" w:line="240" w:lineRule="auto"/>
              <w:ind w:firstLine="0" w:firstLineChars="0"/>
              <w:jc w:val="left"/>
              <w:rPr>
                <w:rFonts w:ascii="宋体" w:hAnsi="宋体" w:eastAsia="宋体" w:cs="宋体"/>
                <w:color w:val="000000"/>
                <w:kern w:val="0"/>
                <w:sz w:val="18"/>
                <w:szCs w:val="18"/>
              </w:rPr>
            </w:pPr>
          </w:p>
        </w:tc>
        <w:tc>
          <w:tcPr>
            <w:tcW w:w="708"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满意度</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761"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服务对象满意度</w:t>
            </w:r>
          </w:p>
        </w:tc>
        <w:tc>
          <w:tcPr>
            <w:tcW w:w="567"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10</w:t>
            </w:r>
          </w:p>
        </w:tc>
        <w:tc>
          <w:tcPr>
            <w:tcW w:w="850" w:type="dxa"/>
            <w:tcBorders>
              <w:top w:val="nil"/>
              <w:left w:val="nil"/>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7</w:t>
            </w:r>
          </w:p>
        </w:tc>
        <w:tc>
          <w:tcPr>
            <w:tcW w:w="1701"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调查问卷仅对项目的服务质量、项目人员表现进行了满意度调查，不能充分反映项目实施的效果。</w:t>
            </w:r>
          </w:p>
        </w:tc>
        <w:tc>
          <w:tcPr>
            <w:tcW w:w="2835" w:type="dxa"/>
            <w:tcBorders>
              <w:top w:val="nil"/>
              <w:left w:val="nil"/>
              <w:bottom w:val="single" w:color="auto" w:sz="4" w:space="0"/>
              <w:right w:val="single" w:color="auto" w:sz="4" w:space="0"/>
            </w:tcBorders>
            <w:shd w:val="clear" w:color="auto" w:fill="auto"/>
            <w:vAlign w:val="center"/>
          </w:tcPr>
          <w:p>
            <w:pPr>
              <w:widowControl/>
              <w:spacing w:before="0" w:after="0" w:line="240" w:lineRule="auto"/>
              <w:ind w:firstLine="0" w:firstLineChars="0"/>
              <w:jc w:val="left"/>
              <w:rPr>
                <w:rFonts w:ascii="宋体" w:hAnsi="宋体" w:eastAsia="宋体" w:cs="宋体"/>
                <w:color w:val="000000"/>
                <w:kern w:val="0"/>
                <w:sz w:val="18"/>
                <w:szCs w:val="18"/>
              </w:rPr>
            </w:pPr>
            <w:r>
              <w:rPr>
                <w:rFonts w:hint="eastAsia" w:ascii="宋体" w:hAnsi="宋体" w:eastAsia="宋体" w:cs="宋体"/>
                <w:color w:val="000000"/>
                <w:kern w:val="0"/>
                <w:sz w:val="18"/>
                <w:szCs w:val="18"/>
              </w:rPr>
              <w:t>项目预期服务对象对项目实施效果的满意度</w:t>
            </w:r>
          </w:p>
        </w:tc>
      </w:tr>
      <w:tr>
        <w:tblPrEx>
          <w:tblCellMar>
            <w:top w:w="0" w:type="dxa"/>
            <w:left w:w="108" w:type="dxa"/>
            <w:bottom w:w="0" w:type="dxa"/>
            <w:right w:w="108" w:type="dxa"/>
          </w:tblCellMar>
        </w:tblPrEx>
        <w:trPr>
          <w:trHeight w:val="301" w:hRule="atLeast"/>
        </w:trPr>
        <w:tc>
          <w:tcPr>
            <w:tcW w:w="710"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ascii="宋体" w:hAnsi="宋体" w:eastAsia="宋体" w:cs="宋体"/>
                <w:color w:val="000000"/>
                <w:kern w:val="0"/>
                <w:sz w:val="18"/>
                <w:szCs w:val="18"/>
              </w:rPr>
            </w:pPr>
            <w:r>
              <w:rPr>
                <w:rFonts w:hint="eastAsia" w:ascii="宋体" w:hAnsi="宋体" w:eastAsia="宋体" w:cs="宋体"/>
                <w:color w:val="000000"/>
                <w:kern w:val="0"/>
                <w:sz w:val="18"/>
                <w:szCs w:val="18"/>
              </w:rPr>
              <w:t>合计</w:t>
            </w:r>
          </w:p>
        </w:tc>
        <w:tc>
          <w:tcPr>
            <w:tcW w:w="657"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r>
              <w:rPr>
                <w:rFonts w:hint="eastAsia" w:asciiTheme="minorEastAsia" w:hAnsiTheme="minorEastAsia" w:eastAsiaTheme="minorEastAsia"/>
                <w:kern w:val="0"/>
                <w:sz w:val="20"/>
                <w:szCs w:val="20"/>
              </w:rPr>
              <w:t>100</w:t>
            </w:r>
          </w:p>
        </w:tc>
        <w:tc>
          <w:tcPr>
            <w:tcW w:w="708"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p>
        </w:tc>
        <w:tc>
          <w:tcPr>
            <w:tcW w:w="567"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r>
              <w:rPr>
                <w:rFonts w:hint="eastAsia" w:asciiTheme="minorEastAsia" w:hAnsiTheme="minorEastAsia" w:eastAsiaTheme="minorEastAsia"/>
                <w:kern w:val="0"/>
                <w:sz w:val="20"/>
                <w:szCs w:val="20"/>
              </w:rPr>
              <w:t>100</w:t>
            </w:r>
          </w:p>
        </w:tc>
        <w:tc>
          <w:tcPr>
            <w:tcW w:w="761" w:type="dxa"/>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spacing w:before="0" w:after="0" w:line="240" w:lineRule="auto"/>
              <w:ind w:firstLine="0" w:firstLineChars="0"/>
              <w:jc w:val="center"/>
              <w:rPr>
                <w:rFonts w:eastAsia="Times New Roman"/>
                <w:kern w:val="0"/>
                <w:sz w:val="20"/>
                <w:szCs w:val="20"/>
              </w:rPr>
            </w:pPr>
          </w:p>
        </w:tc>
        <w:tc>
          <w:tcPr>
            <w:tcW w:w="567" w:type="dxa"/>
            <w:tcBorders>
              <w:top w:val="single" w:color="auto" w:sz="4" w:space="0"/>
              <w:left w:val="single" w:color="auto" w:sz="4" w:space="0"/>
              <w:bottom w:val="single" w:color="auto" w:sz="4" w:space="0"/>
              <w:right w:val="single" w:color="auto" w:sz="4" w:space="0"/>
            </w:tcBorders>
            <w:shd w:val="clear" w:color="auto" w:fill="auto"/>
            <w:noWrap/>
            <w:vAlign w:val="bottom"/>
          </w:tcPr>
          <w:p>
            <w:pPr>
              <w:widowControl/>
              <w:spacing w:before="0" w:after="0" w:line="240" w:lineRule="auto"/>
              <w:ind w:firstLine="0" w:firstLineChars="0"/>
              <w:jc w:val="center"/>
              <w:rPr>
                <w:rFonts w:eastAsiaTheme="minorEastAsia"/>
                <w:kern w:val="0"/>
                <w:sz w:val="20"/>
                <w:szCs w:val="20"/>
              </w:rPr>
            </w:pPr>
            <w:r>
              <w:rPr>
                <w:rFonts w:hint="eastAsia" w:eastAsiaTheme="minorEastAsia"/>
                <w:kern w:val="0"/>
                <w:sz w:val="20"/>
                <w:szCs w:val="20"/>
              </w:rPr>
              <w:t>1</w:t>
            </w:r>
            <w:r>
              <w:rPr>
                <w:rFonts w:eastAsiaTheme="minorEastAsia"/>
                <w:kern w:val="0"/>
                <w:sz w:val="20"/>
                <w:szCs w:val="20"/>
              </w:rPr>
              <w:t>00</w:t>
            </w:r>
          </w:p>
        </w:tc>
        <w:tc>
          <w:tcPr>
            <w:tcW w:w="850" w:type="dxa"/>
            <w:tcBorders>
              <w:top w:val="single" w:color="auto" w:sz="4" w:space="0"/>
              <w:left w:val="single" w:color="auto" w:sz="4" w:space="0"/>
              <w:bottom w:val="single" w:color="auto" w:sz="4" w:space="0"/>
              <w:right w:val="single" w:color="auto" w:sz="4" w:space="0"/>
            </w:tcBorders>
            <w:shd w:val="clear" w:color="auto" w:fill="auto"/>
            <w:vAlign w:val="bottom"/>
          </w:tcPr>
          <w:p>
            <w:pPr>
              <w:widowControl/>
              <w:spacing w:before="0" w:after="0" w:line="240" w:lineRule="auto"/>
              <w:ind w:firstLine="0" w:firstLineChars="0"/>
              <w:jc w:val="center"/>
              <w:rPr>
                <w:rFonts w:eastAsia="Times New Roman"/>
                <w:kern w:val="0"/>
                <w:sz w:val="20"/>
                <w:szCs w:val="20"/>
              </w:rPr>
            </w:pPr>
            <w:r>
              <w:rPr>
                <w:rFonts w:hint="eastAsia" w:asciiTheme="minorEastAsia" w:hAnsiTheme="minorEastAsia" w:eastAsiaTheme="minorEastAsia"/>
                <w:kern w:val="0"/>
                <w:sz w:val="20"/>
                <w:szCs w:val="20"/>
              </w:rPr>
              <w:t>91</w:t>
            </w:r>
          </w:p>
        </w:tc>
        <w:tc>
          <w:tcPr>
            <w:tcW w:w="1701" w:type="dxa"/>
            <w:tcBorders>
              <w:top w:val="single" w:color="auto" w:sz="4" w:space="0"/>
              <w:left w:val="single" w:color="auto" w:sz="4" w:space="0"/>
              <w:bottom w:val="single" w:color="auto" w:sz="4" w:space="0"/>
              <w:right w:val="single" w:color="auto" w:sz="4" w:space="0"/>
            </w:tcBorders>
            <w:shd w:val="clear" w:color="auto" w:fill="auto"/>
            <w:vAlign w:val="bottom"/>
          </w:tcPr>
          <w:p>
            <w:pPr>
              <w:widowControl/>
              <w:spacing w:before="0" w:after="0" w:line="240" w:lineRule="auto"/>
              <w:ind w:firstLine="0" w:firstLineChars="0"/>
              <w:jc w:val="left"/>
              <w:rPr>
                <w:rFonts w:eastAsia="Times New Roman"/>
                <w:kern w:val="0"/>
                <w:sz w:val="20"/>
                <w:szCs w:val="20"/>
              </w:rPr>
            </w:pPr>
          </w:p>
        </w:tc>
        <w:tc>
          <w:tcPr>
            <w:tcW w:w="2835" w:type="dxa"/>
            <w:tcBorders>
              <w:top w:val="single" w:color="auto" w:sz="4" w:space="0"/>
              <w:left w:val="single" w:color="auto" w:sz="4" w:space="0"/>
              <w:bottom w:val="single" w:color="auto" w:sz="4" w:space="0"/>
              <w:right w:val="single" w:color="auto" w:sz="4" w:space="0"/>
            </w:tcBorders>
            <w:shd w:val="clear" w:color="auto" w:fill="auto"/>
            <w:vAlign w:val="bottom"/>
          </w:tcPr>
          <w:p>
            <w:pPr>
              <w:widowControl/>
              <w:spacing w:before="0" w:after="0" w:line="240" w:lineRule="auto"/>
              <w:ind w:firstLine="0" w:firstLineChars="0"/>
              <w:jc w:val="left"/>
              <w:rPr>
                <w:rFonts w:eastAsia="Times New Roman"/>
                <w:kern w:val="0"/>
                <w:sz w:val="20"/>
                <w:szCs w:val="20"/>
              </w:rPr>
            </w:pPr>
          </w:p>
        </w:tc>
      </w:tr>
    </w:tbl>
    <w:p>
      <w:pPr>
        <w:ind w:firstLine="640"/>
        <w:rPr>
          <w:rFonts w:ascii="仿宋" w:hAnsi="仿宋" w:eastAsia="仿宋"/>
        </w:rPr>
      </w:pPr>
    </w:p>
    <w:p>
      <w:pPr>
        <w:spacing w:before="0" w:after="0" w:line="60" w:lineRule="exact"/>
        <w:ind w:firstLine="0" w:firstLineChars="0"/>
        <w:rPr>
          <w:rFonts w:ascii="仿宋" w:hAnsi="仿宋" w:eastAsia="仿宋"/>
        </w:rPr>
      </w:pPr>
    </w:p>
    <w:sectPr>
      <w:footerReference r:id="rId11" w:type="default"/>
      <w:pgSz w:w="11906" w:h="16838"/>
      <w:pgMar w:top="1440" w:right="1797" w:bottom="1440" w:left="1797" w:header="851" w:footer="992" w:gutter="0"/>
      <w:pgNumType w:fmt="numberInDash" w:start="1"/>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楷体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方正小标宋简体">
    <w:panose1 w:val="03000509000000000000"/>
    <w:charset w:val="86"/>
    <w:family w:val="script"/>
    <w:pitch w:val="default"/>
    <w:sig w:usb0="00000001" w:usb1="080E0000" w:usb2="00000000" w:usb3="00000000" w:csb0="00040000" w:csb1="00000000"/>
  </w:font>
  <w:font w:name="Cambria">
    <w:panose1 w:val="02040503050406030204"/>
    <w:charset w:val="00"/>
    <w:family w:val="roman"/>
    <w:pitch w:val="default"/>
    <w:sig w:usb0="E00002FF" w:usb1="400004FF" w:usb2="00000000" w:usb3="00000000" w:csb0="2000019F" w:csb1="00000000"/>
  </w:font>
  <w:font w:name="微软雅黑">
    <w:panose1 w:val="020B0503020204020204"/>
    <w:charset w:val="86"/>
    <w:family w:val="swiss"/>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spacing w:line="240" w:lineRule="auto"/>
      <w:ind w:firstLine="360"/>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308469744"/>
    </w:sdtPr>
    <w:sdtContent>
      <w:p>
        <w:pPr>
          <w:pStyle w:val="9"/>
          <w:ind w:firstLine="360"/>
          <w:jc w:val="center"/>
        </w:pPr>
        <w:r>
          <w:fldChar w:fldCharType="begin"/>
        </w:r>
        <w:r>
          <w:instrText xml:space="preserve">PAGE   \* MERGEFORMAT</w:instrText>
        </w:r>
        <w:r>
          <w:fldChar w:fldCharType="separate"/>
        </w:r>
        <w:r>
          <w:rPr>
            <w:lang w:val="zh-CN"/>
          </w:rPr>
          <w:t>2</w:t>
        </w:r>
        <w:r>
          <w:fldChar w:fldCharType="end"/>
        </w:r>
      </w:p>
    </w:sdtContent>
  </w:sdt>
  <w:p>
    <w:pPr>
      <w:pStyle w:val="9"/>
      <w:spacing w:line="240" w:lineRule="auto"/>
      <w:ind w:firstLine="360"/>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40" w:lineRule="auto"/>
        <w:ind w:firstLine="640"/>
      </w:pPr>
      <w:r>
        <w:separator/>
      </w:r>
    </w:p>
  </w:footnote>
  <w:footnote w:type="continuationSeparator" w:id="1">
    <w:p>
      <w:pPr>
        <w:spacing w:before="0" w:after="0"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Bdr>
        <w:bottom w:val="none" w:color="auto" w:sz="0" w:space="0"/>
      </w:pBdr>
      <w:spacing w:line="240" w:lineRule="auto"/>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DF47AB5"/>
    <w:multiLevelType w:val="multilevel"/>
    <w:tmpl w:val="3DF47AB5"/>
    <w:lvl w:ilvl="0" w:tentative="0">
      <w:start w:val="1"/>
      <w:numFmt w:val="chineseCountingThousand"/>
      <w:pStyle w:val="2"/>
      <w:suff w:val="nothing"/>
      <w:lvlText w:val="%1、"/>
      <w:lvlJc w:val="left"/>
      <w:pPr>
        <w:ind w:left="0" w:firstLine="0"/>
      </w:pPr>
      <w:rPr>
        <w:rFonts w:hint="eastAsia"/>
      </w:rPr>
    </w:lvl>
    <w:lvl w:ilvl="1" w:tentative="0">
      <w:start w:val="1"/>
      <w:numFmt w:val="chineseCountingThousand"/>
      <w:pStyle w:val="4"/>
      <w:suff w:val="nothing"/>
      <w:lvlText w:val="（%2）"/>
      <w:lvlJc w:val="left"/>
      <w:pPr>
        <w:ind w:left="0" w:firstLine="0"/>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jRlZmNhYzI0OWM3YjZiMjQ4OTZkNzQ2ZGRkOGQzMDYifQ=="/>
  </w:docVars>
  <w:rsids>
    <w:rsidRoot w:val="00823497"/>
    <w:rsid w:val="00000487"/>
    <w:rsid w:val="00004A74"/>
    <w:rsid w:val="00006438"/>
    <w:rsid w:val="00012587"/>
    <w:rsid w:val="00015B86"/>
    <w:rsid w:val="0001635C"/>
    <w:rsid w:val="000163C2"/>
    <w:rsid w:val="00016F4D"/>
    <w:rsid w:val="0001718C"/>
    <w:rsid w:val="000211D7"/>
    <w:rsid w:val="00022A76"/>
    <w:rsid w:val="00027C72"/>
    <w:rsid w:val="0004445A"/>
    <w:rsid w:val="00061D34"/>
    <w:rsid w:val="00081DA0"/>
    <w:rsid w:val="00086DF4"/>
    <w:rsid w:val="0009073A"/>
    <w:rsid w:val="00092962"/>
    <w:rsid w:val="000976E8"/>
    <w:rsid w:val="000A548C"/>
    <w:rsid w:val="000A7910"/>
    <w:rsid w:val="000B5F9B"/>
    <w:rsid w:val="000C02B3"/>
    <w:rsid w:val="000C1AB7"/>
    <w:rsid w:val="000C2BBE"/>
    <w:rsid w:val="000C7FDE"/>
    <w:rsid w:val="000D6DE9"/>
    <w:rsid w:val="000E1A46"/>
    <w:rsid w:val="000E1AB8"/>
    <w:rsid w:val="000E460D"/>
    <w:rsid w:val="000E4F7C"/>
    <w:rsid w:val="000E7FF2"/>
    <w:rsid w:val="000F2B8F"/>
    <w:rsid w:val="000F73FF"/>
    <w:rsid w:val="00101DF5"/>
    <w:rsid w:val="00110926"/>
    <w:rsid w:val="00113AF1"/>
    <w:rsid w:val="0012305E"/>
    <w:rsid w:val="00123926"/>
    <w:rsid w:val="00123D25"/>
    <w:rsid w:val="001241B1"/>
    <w:rsid w:val="0012737C"/>
    <w:rsid w:val="00142F73"/>
    <w:rsid w:val="00143847"/>
    <w:rsid w:val="0015290B"/>
    <w:rsid w:val="00163470"/>
    <w:rsid w:val="001716EE"/>
    <w:rsid w:val="00172D91"/>
    <w:rsid w:val="0017373E"/>
    <w:rsid w:val="001765CA"/>
    <w:rsid w:val="00176E0A"/>
    <w:rsid w:val="00181690"/>
    <w:rsid w:val="00190484"/>
    <w:rsid w:val="001932FA"/>
    <w:rsid w:val="001A36FF"/>
    <w:rsid w:val="001A3DDF"/>
    <w:rsid w:val="001A656D"/>
    <w:rsid w:val="001B192E"/>
    <w:rsid w:val="001B3A33"/>
    <w:rsid w:val="001B487D"/>
    <w:rsid w:val="001B5CD7"/>
    <w:rsid w:val="001C1B8B"/>
    <w:rsid w:val="001C79DC"/>
    <w:rsid w:val="001C7AA9"/>
    <w:rsid w:val="001D03A2"/>
    <w:rsid w:val="001D3DF0"/>
    <w:rsid w:val="001D4619"/>
    <w:rsid w:val="001E67FC"/>
    <w:rsid w:val="001E7831"/>
    <w:rsid w:val="001F042F"/>
    <w:rsid w:val="001F0A9D"/>
    <w:rsid w:val="001F358F"/>
    <w:rsid w:val="001F60B5"/>
    <w:rsid w:val="001F7BF3"/>
    <w:rsid w:val="00214975"/>
    <w:rsid w:val="00220E03"/>
    <w:rsid w:val="0022178A"/>
    <w:rsid w:val="00222121"/>
    <w:rsid w:val="002224D6"/>
    <w:rsid w:val="00223CDF"/>
    <w:rsid w:val="00232283"/>
    <w:rsid w:val="00236AA9"/>
    <w:rsid w:val="00245EE2"/>
    <w:rsid w:val="00250106"/>
    <w:rsid w:val="00251CB5"/>
    <w:rsid w:val="0025682F"/>
    <w:rsid w:val="002640F3"/>
    <w:rsid w:val="00270BFB"/>
    <w:rsid w:val="002749C2"/>
    <w:rsid w:val="002750A3"/>
    <w:rsid w:val="0028036B"/>
    <w:rsid w:val="002818A7"/>
    <w:rsid w:val="002821C8"/>
    <w:rsid w:val="002843C6"/>
    <w:rsid w:val="002847AF"/>
    <w:rsid w:val="0028662A"/>
    <w:rsid w:val="00293575"/>
    <w:rsid w:val="002B34CB"/>
    <w:rsid w:val="002B6AB2"/>
    <w:rsid w:val="002C1B12"/>
    <w:rsid w:val="002C22A3"/>
    <w:rsid w:val="002C279C"/>
    <w:rsid w:val="002C2998"/>
    <w:rsid w:val="002C3013"/>
    <w:rsid w:val="002C6649"/>
    <w:rsid w:val="002D15D4"/>
    <w:rsid w:val="002D356B"/>
    <w:rsid w:val="002D6D2C"/>
    <w:rsid w:val="002E3873"/>
    <w:rsid w:val="002E560B"/>
    <w:rsid w:val="002E6A48"/>
    <w:rsid w:val="002F282C"/>
    <w:rsid w:val="002F5416"/>
    <w:rsid w:val="002F5A37"/>
    <w:rsid w:val="002F5F55"/>
    <w:rsid w:val="00301A8E"/>
    <w:rsid w:val="0030615A"/>
    <w:rsid w:val="00310B9C"/>
    <w:rsid w:val="00312E4B"/>
    <w:rsid w:val="00316D98"/>
    <w:rsid w:val="0032162D"/>
    <w:rsid w:val="003362DC"/>
    <w:rsid w:val="00341302"/>
    <w:rsid w:val="0034311F"/>
    <w:rsid w:val="00345F32"/>
    <w:rsid w:val="00346836"/>
    <w:rsid w:val="0035073B"/>
    <w:rsid w:val="00355496"/>
    <w:rsid w:val="003567F3"/>
    <w:rsid w:val="00356937"/>
    <w:rsid w:val="003579C8"/>
    <w:rsid w:val="00364B78"/>
    <w:rsid w:val="0036563F"/>
    <w:rsid w:val="00365A6B"/>
    <w:rsid w:val="00371004"/>
    <w:rsid w:val="00392D9F"/>
    <w:rsid w:val="003A09C9"/>
    <w:rsid w:val="003A3114"/>
    <w:rsid w:val="003A49FD"/>
    <w:rsid w:val="003A5F4E"/>
    <w:rsid w:val="003A7DE8"/>
    <w:rsid w:val="003B1F5F"/>
    <w:rsid w:val="003B32F0"/>
    <w:rsid w:val="003B6581"/>
    <w:rsid w:val="003B7804"/>
    <w:rsid w:val="003C3E46"/>
    <w:rsid w:val="003C588B"/>
    <w:rsid w:val="003D2665"/>
    <w:rsid w:val="003D34CD"/>
    <w:rsid w:val="003D4D74"/>
    <w:rsid w:val="003E0814"/>
    <w:rsid w:val="003E0E74"/>
    <w:rsid w:val="003E3975"/>
    <w:rsid w:val="003E492F"/>
    <w:rsid w:val="003E6348"/>
    <w:rsid w:val="003E6916"/>
    <w:rsid w:val="003F4133"/>
    <w:rsid w:val="003F5DD2"/>
    <w:rsid w:val="00400FB4"/>
    <w:rsid w:val="004021DA"/>
    <w:rsid w:val="004037C4"/>
    <w:rsid w:val="0040675D"/>
    <w:rsid w:val="004119C8"/>
    <w:rsid w:val="004243DA"/>
    <w:rsid w:val="00430E9C"/>
    <w:rsid w:val="00434808"/>
    <w:rsid w:val="004401D7"/>
    <w:rsid w:val="00443A09"/>
    <w:rsid w:val="00461AF2"/>
    <w:rsid w:val="0046306F"/>
    <w:rsid w:val="004675F2"/>
    <w:rsid w:val="004718CC"/>
    <w:rsid w:val="004822A8"/>
    <w:rsid w:val="0048641D"/>
    <w:rsid w:val="004A065B"/>
    <w:rsid w:val="004A7869"/>
    <w:rsid w:val="004C2A2B"/>
    <w:rsid w:val="004C3AF7"/>
    <w:rsid w:val="004D000A"/>
    <w:rsid w:val="004D0C28"/>
    <w:rsid w:val="004D7C8E"/>
    <w:rsid w:val="004E0482"/>
    <w:rsid w:val="004E5E87"/>
    <w:rsid w:val="004F002C"/>
    <w:rsid w:val="004F0ADD"/>
    <w:rsid w:val="004F6719"/>
    <w:rsid w:val="005111B4"/>
    <w:rsid w:val="00511991"/>
    <w:rsid w:val="00517B62"/>
    <w:rsid w:val="00521531"/>
    <w:rsid w:val="00534469"/>
    <w:rsid w:val="0053596B"/>
    <w:rsid w:val="00535CBC"/>
    <w:rsid w:val="0053780D"/>
    <w:rsid w:val="00540EFF"/>
    <w:rsid w:val="005437E7"/>
    <w:rsid w:val="00544E29"/>
    <w:rsid w:val="00545770"/>
    <w:rsid w:val="00547FA9"/>
    <w:rsid w:val="0055545E"/>
    <w:rsid w:val="00557789"/>
    <w:rsid w:val="00560A3E"/>
    <w:rsid w:val="00562030"/>
    <w:rsid w:val="00566162"/>
    <w:rsid w:val="00570895"/>
    <w:rsid w:val="00576EE5"/>
    <w:rsid w:val="005808CF"/>
    <w:rsid w:val="0059415E"/>
    <w:rsid w:val="00595C90"/>
    <w:rsid w:val="005A135C"/>
    <w:rsid w:val="005B741E"/>
    <w:rsid w:val="005C424B"/>
    <w:rsid w:val="005C7FCA"/>
    <w:rsid w:val="005D4F66"/>
    <w:rsid w:val="005D6183"/>
    <w:rsid w:val="005E0C8C"/>
    <w:rsid w:val="005E1209"/>
    <w:rsid w:val="005E242D"/>
    <w:rsid w:val="005E5C1B"/>
    <w:rsid w:val="005F41D8"/>
    <w:rsid w:val="005F47D0"/>
    <w:rsid w:val="00602486"/>
    <w:rsid w:val="006042F2"/>
    <w:rsid w:val="00606D9F"/>
    <w:rsid w:val="00611EB3"/>
    <w:rsid w:val="00630BBF"/>
    <w:rsid w:val="00636D8A"/>
    <w:rsid w:val="00640E86"/>
    <w:rsid w:val="006461C3"/>
    <w:rsid w:val="00651D24"/>
    <w:rsid w:val="006520E2"/>
    <w:rsid w:val="006541EC"/>
    <w:rsid w:val="00655733"/>
    <w:rsid w:val="006570BE"/>
    <w:rsid w:val="00657A86"/>
    <w:rsid w:val="00661E4A"/>
    <w:rsid w:val="00666D2E"/>
    <w:rsid w:val="00674758"/>
    <w:rsid w:val="00675AF0"/>
    <w:rsid w:val="00683538"/>
    <w:rsid w:val="00685C6F"/>
    <w:rsid w:val="00686ECE"/>
    <w:rsid w:val="00687311"/>
    <w:rsid w:val="006878AC"/>
    <w:rsid w:val="00692B6C"/>
    <w:rsid w:val="00692FDF"/>
    <w:rsid w:val="0069756B"/>
    <w:rsid w:val="00697B98"/>
    <w:rsid w:val="006B1F45"/>
    <w:rsid w:val="006B7C9B"/>
    <w:rsid w:val="006C33AF"/>
    <w:rsid w:val="006C7573"/>
    <w:rsid w:val="006D0A06"/>
    <w:rsid w:val="006D4746"/>
    <w:rsid w:val="006E2A74"/>
    <w:rsid w:val="006F05E1"/>
    <w:rsid w:val="006F2059"/>
    <w:rsid w:val="006F6BE8"/>
    <w:rsid w:val="00701F3F"/>
    <w:rsid w:val="0070249E"/>
    <w:rsid w:val="007025DE"/>
    <w:rsid w:val="00707160"/>
    <w:rsid w:val="00714645"/>
    <w:rsid w:val="00715614"/>
    <w:rsid w:val="0071662B"/>
    <w:rsid w:val="007213CD"/>
    <w:rsid w:val="0072225F"/>
    <w:rsid w:val="0072681A"/>
    <w:rsid w:val="00727B1A"/>
    <w:rsid w:val="00731C5F"/>
    <w:rsid w:val="007426B4"/>
    <w:rsid w:val="00750D0A"/>
    <w:rsid w:val="007523C2"/>
    <w:rsid w:val="00754D14"/>
    <w:rsid w:val="00760B91"/>
    <w:rsid w:val="00764B89"/>
    <w:rsid w:val="00766A76"/>
    <w:rsid w:val="007675AB"/>
    <w:rsid w:val="00771D39"/>
    <w:rsid w:val="00775356"/>
    <w:rsid w:val="0077662A"/>
    <w:rsid w:val="0077763E"/>
    <w:rsid w:val="0078061C"/>
    <w:rsid w:val="00780814"/>
    <w:rsid w:val="0078694A"/>
    <w:rsid w:val="00787BCF"/>
    <w:rsid w:val="0079318E"/>
    <w:rsid w:val="00795D16"/>
    <w:rsid w:val="007A2DC3"/>
    <w:rsid w:val="007A3DB9"/>
    <w:rsid w:val="007B0068"/>
    <w:rsid w:val="007B28D7"/>
    <w:rsid w:val="007B2D33"/>
    <w:rsid w:val="007C2AF0"/>
    <w:rsid w:val="007C7B50"/>
    <w:rsid w:val="007D00DE"/>
    <w:rsid w:val="007D3E0C"/>
    <w:rsid w:val="007D56C4"/>
    <w:rsid w:val="007D63ED"/>
    <w:rsid w:val="007E095F"/>
    <w:rsid w:val="007E0B9B"/>
    <w:rsid w:val="007E74FC"/>
    <w:rsid w:val="007F31A8"/>
    <w:rsid w:val="007F3405"/>
    <w:rsid w:val="00801F38"/>
    <w:rsid w:val="00803F6D"/>
    <w:rsid w:val="00811373"/>
    <w:rsid w:val="008115CC"/>
    <w:rsid w:val="008118CE"/>
    <w:rsid w:val="00812781"/>
    <w:rsid w:val="008178C4"/>
    <w:rsid w:val="00820A2A"/>
    <w:rsid w:val="00821047"/>
    <w:rsid w:val="00823497"/>
    <w:rsid w:val="008237EA"/>
    <w:rsid w:val="0082430F"/>
    <w:rsid w:val="008252EE"/>
    <w:rsid w:val="00831D71"/>
    <w:rsid w:val="0083280C"/>
    <w:rsid w:val="00834D42"/>
    <w:rsid w:val="008463D6"/>
    <w:rsid w:val="0085105E"/>
    <w:rsid w:val="00855B01"/>
    <w:rsid w:val="008604B2"/>
    <w:rsid w:val="008610AA"/>
    <w:rsid w:val="0086195A"/>
    <w:rsid w:val="00871802"/>
    <w:rsid w:val="00873164"/>
    <w:rsid w:val="00877741"/>
    <w:rsid w:val="00885364"/>
    <w:rsid w:val="008938B0"/>
    <w:rsid w:val="008A10E8"/>
    <w:rsid w:val="008A6188"/>
    <w:rsid w:val="008B1771"/>
    <w:rsid w:val="008B419D"/>
    <w:rsid w:val="008B7608"/>
    <w:rsid w:val="008B794E"/>
    <w:rsid w:val="008C4E77"/>
    <w:rsid w:val="008D564D"/>
    <w:rsid w:val="008E1B3F"/>
    <w:rsid w:val="008F1297"/>
    <w:rsid w:val="008F2352"/>
    <w:rsid w:val="00911224"/>
    <w:rsid w:val="00915EDD"/>
    <w:rsid w:val="00920D34"/>
    <w:rsid w:val="00923B49"/>
    <w:rsid w:val="009249FA"/>
    <w:rsid w:val="00924CE5"/>
    <w:rsid w:val="00932C64"/>
    <w:rsid w:val="009428E2"/>
    <w:rsid w:val="009460EE"/>
    <w:rsid w:val="0095314A"/>
    <w:rsid w:val="00957852"/>
    <w:rsid w:val="00957E0D"/>
    <w:rsid w:val="00963A82"/>
    <w:rsid w:val="009640B3"/>
    <w:rsid w:val="0096643F"/>
    <w:rsid w:val="00970F50"/>
    <w:rsid w:val="0098672B"/>
    <w:rsid w:val="0099013C"/>
    <w:rsid w:val="00994299"/>
    <w:rsid w:val="00994B8B"/>
    <w:rsid w:val="00997515"/>
    <w:rsid w:val="009A6A74"/>
    <w:rsid w:val="009B67DA"/>
    <w:rsid w:val="009C0648"/>
    <w:rsid w:val="009C084D"/>
    <w:rsid w:val="009C1187"/>
    <w:rsid w:val="009C2C27"/>
    <w:rsid w:val="009C4811"/>
    <w:rsid w:val="009D3D38"/>
    <w:rsid w:val="009D6A4A"/>
    <w:rsid w:val="009D6F4D"/>
    <w:rsid w:val="009E29BC"/>
    <w:rsid w:val="009E2AA8"/>
    <w:rsid w:val="009F1156"/>
    <w:rsid w:val="009F51EF"/>
    <w:rsid w:val="00A028DA"/>
    <w:rsid w:val="00A15244"/>
    <w:rsid w:val="00A21C7D"/>
    <w:rsid w:val="00A2239A"/>
    <w:rsid w:val="00A25889"/>
    <w:rsid w:val="00A26111"/>
    <w:rsid w:val="00A27945"/>
    <w:rsid w:val="00A3456D"/>
    <w:rsid w:val="00A36155"/>
    <w:rsid w:val="00A515FD"/>
    <w:rsid w:val="00A52C30"/>
    <w:rsid w:val="00A54713"/>
    <w:rsid w:val="00A57A0C"/>
    <w:rsid w:val="00A62617"/>
    <w:rsid w:val="00A674F0"/>
    <w:rsid w:val="00A75B5E"/>
    <w:rsid w:val="00A82F0C"/>
    <w:rsid w:val="00A84AEA"/>
    <w:rsid w:val="00A9614F"/>
    <w:rsid w:val="00A967B2"/>
    <w:rsid w:val="00A978A2"/>
    <w:rsid w:val="00A97D54"/>
    <w:rsid w:val="00AA007E"/>
    <w:rsid w:val="00AA2532"/>
    <w:rsid w:val="00AB1359"/>
    <w:rsid w:val="00AB4C4F"/>
    <w:rsid w:val="00AB61E6"/>
    <w:rsid w:val="00AC053B"/>
    <w:rsid w:val="00AC1713"/>
    <w:rsid w:val="00AD2546"/>
    <w:rsid w:val="00AD6CE5"/>
    <w:rsid w:val="00AE5AF2"/>
    <w:rsid w:val="00AF5F39"/>
    <w:rsid w:val="00AF5FFB"/>
    <w:rsid w:val="00B0332E"/>
    <w:rsid w:val="00B04AD0"/>
    <w:rsid w:val="00B05207"/>
    <w:rsid w:val="00B05B1F"/>
    <w:rsid w:val="00B079B4"/>
    <w:rsid w:val="00B1126B"/>
    <w:rsid w:val="00B219DC"/>
    <w:rsid w:val="00B2271D"/>
    <w:rsid w:val="00B24C9E"/>
    <w:rsid w:val="00B26601"/>
    <w:rsid w:val="00B2716B"/>
    <w:rsid w:val="00B34011"/>
    <w:rsid w:val="00B40D67"/>
    <w:rsid w:val="00B42BCB"/>
    <w:rsid w:val="00B47488"/>
    <w:rsid w:val="00B5192F"/>
    <w:rsid w:val="00B556CF"/>
    <w:rsid w:val="00B61346"/>
    <w:rsid w:val="00B615F4"/>
    <w:rsid w:val="00B652EC"/>
    <w:rsid w:val="00B70880"/>
    <w:rsid w:val="00B721A3"/>
    <w:rsid w:val="00B72E73"/>
    <w:rsid w:val="00B74952"/>
    <w:rsid w:val="00B74BE6"/>
    <w:rsid w:val="00B74C02"/>
    <w:rsid w:val="00B827B0"/>
    <w:rsid w:val="00B82957"/>
    <w:rsid w:val="00B8579E"/>
    <w:rsid w:val="00B87C02"/>
    <w:rsid w:val="00B924C3"/>
    <w:rsid w:val="00B9664B"/>
    <w:rsid w:val="00B97F09"/>
    <w:rsid w:val="00BA503C"/>
    <w:rsid w:val="00BA7E81"/>
    <w:rsid w:val="00BB21BF"/>
    <w:rsid w:val="00BB7731"/>
    <w:rsid w:val="00BC156D"/>
    <w:rsid w:val="00BC2BB4"/>
    <w:rsid w:val="00BC2BC6"/>
    <w:rsid w:val="00BD42BA"/>
    <w:rsid w:val="00BD56E1"/>
    <w:rsid w:val="00BD64A2"/>
    <w:rsid w:val="00BE0577"/>
    <w:rsid w:val="00BE4316"/>
    <w:rsid w:val="00BF425B"/>
    <w:rsid w:val="00BF7B2E"/>
    <w:rsid w:val="00C07392"/>
    <w:rsid w:val="00C12E3A"/>
    <w:rsid w:val="00C13113"/>
    <w:rsid w:val="00C14289"/>
    <w:rsid w:val="00C152BE"/>
    <w:rsid w:val="00C22D6A"/>
    <w:rsid w:val="00C24D9A"/>
    <w:rsid w:val="00C27130"/>
    <w:rsid w:val="00C274A6"/>
    <w:rsid w:val="00C401EF"/>
    <w:rsid w:val="00C4524B"/>
    <w:rsid w:val="00C45AD2"/>
    <w:rsid w:val="00C53212"/>
    <w:rsid w:val="00C54FE7"/>
    <w:rsid w:val="00C56682"/>
    <w:rsid w:val="00C61AE7"/>
    <w:rsid w:val="00C66116"/>
    <w:rsid w:val="00C716FB"/>
    <w:rsid w:val="00C73976"/>
    <w:rsid w:val="00C76AFB"/>
    <w:rsid w:val="00C81E39"/>
    <w:rsid w:val="00C83982"/>
    <w:rsid w:val="00C92F9A"/>
    <w:rsid w:val="00C95050"/>
    <w:rsid w:val="00C96766"/>
    <w:rsid w:val="00CA3D60"/>
    <w:rsid w:val="00CA3EC2"/>
    <w:rsid w:val="00CB4B46"/>
    <w:rsid w:val="00CC036D"/>
    <w:rsid w:val="00CC17E9"/>
    <w:rsid w:val="00CC209B"/>
    <w:rsid w:val="00CC24FE"/>
    <w:rsid w:val="00CC6FAA"/>
    <w:rsid w:val="00CE14B8"/>
    <w:rsid w:val="00CE29D5"/>
    <w:rsid w:val="00CE70D3"/>
    <w:rsid w:val="00CF0980"/>
    <w:rsid w:val="00CF6966"/>
    <w:rsid w:val="00D02956"/>
    <w:rsid w:val="00D06784"/>
    <w:rsid w:val="00D108B8"/>
    <w:rsid w:val="00D12036"/>
    <w:rsid w:val="00D214CC"/>
    <w:rsid w:val="00D2755E"/>
    <w:rsid w:val="00D335DA"/>
    <w:rsid w:val="00D35CCA"/>
    <w:rsid w:val="00D369D0"/>
    <w:rsid w:val="00D3744C"/>
    <w:rsid w:val="00D42AEF"/>
    <w:rsid w:val="00D430D6"/>
    <w:rsid w:val="00D731F7"/>
    <w:rsid w:val="00D748E6"/>
    <w:rsid w:val="00D75CF7"/>
    <w:rsid w:val="00D85D2F"/>
    <w:rsid w:val="00D85FBB"/>
    <w:rsid w:val="00D86446"/>
    <w:rsid w:val="00D90522"/>
    <w:rsid w:val="00D92DAB"/>
    <w:rsid w:val="00D96E16"/>
    <w:rsid w:val="00DA2929"/>
    <w:rsid w:val="00DA3854"/>
    <w:rsid w:val="00DA5F97"/>
    <w:rsid w:val="00DC06FB"/>
    <w:rsid w:val="00DC0F7A"/>
    <w:rsid w:val="00DC4913"/>
    <w:rsid w:val="00DC5D6D"/>
    <w:rsid w:val="00DC7720"/>
    <w:rsid w:val="00DD0077"/>
    <w:rsid w:val="00DD0509"/>
    <w:rsid w:val="00DD0FBC"/>
    <w:rsid w:val="00DE06A5"/>
    <w:rsid w:val="00DE0F82"/>
    <w:rsid w:val="00DE31B0"/>
    <w:rsid w:val="00DE658E"/>
    <w:rsid w:val="00DE78B2"/>
    <w:rsid w:val="00DF10DE"/>
    <w:rsid w:val="00E00998"/>
    <w:rsid w:val="00E10292"/>
    <w:rsid w:val="00E15C18"/>
    <w:rsid w:val="00E267FA"/>
    <w:rsid w:val="00E31151"/>
    <w:rsid w:val="00E379CA"/>
    <w:rsid w:val="00E37B1A"/>
    <w:rsid w:val="00E4019C"/>
    <w:rsid w:val="00E45199"/>
    <w:rsid w:val="00E46AEB"/>
    <w:rsid w:val="00E570E3"/>
    <w:rsid w:val="00E627A7"/>
    <w:rsid w:val="00E70DA5"/>
    <w:rsid w:val="00E71414"/>
    <w:rsid w:val="00E77C1F"/>
    <w:rsid w:val="00E86BB6"/>
    <w:rsid w:val="00E95D9F"/>
    <w:rsid w:val="00E9615D"/>
    <w:rsid w:val="00EA1231"/>
    <w:rsid w:val="00EA5DC2"/>
    <w:rsid w:val="00EA71D6"/>
    <w:rsid w:val="00EB1224"/>
    <w:rsid w:val="00EB353E"/>
    <w:rsid w:val="00EB3E92"/>
    <w:rsid w:val="00EB4528"/>
    <w:rsid w:val="00EB7A85"/>
    <w:rsid w:val="00EC40DB"/>
    <w:rsid w:val="00ED00B2"/>
    <w:rsid w:val="00ED24B3"/>
    <w:rsid w:val="00ED3AAA"/>
    <w:rsid w:val="00ED5403"/>
    <w:rsid w:val="00ED550D"/>
    <w:rsid w:val="00ED75A3"/>
    <w:rsid w:val="00EE3441"/>
    <w:rsid w:val="00EF0218"/>
    <w:rsid w:val="00EF235B"/>
    <w:rsid w:val="00F01C61"/>
    <w:rsid w:val="00F0651D"/>
    <w:rsid w:val="00F170C1"/>
    <w:rsid w:val="00F20898"/>
    <w:rsid w:val="00F2422F"/>
    <w:rsid w:val="00F25F99"/>
    <w:rsid w:val="00F26048"/>
    <w:rsid w:val="00F30EE0"/>
    <w:rsid w:val="00F354D3"/>
    <w:rsid w:val="00F40935"/>
    <w:rsid w:val="00F450A3"/>
    <w:rsid w:val="00F5120C"/>
    <w:rsid w:val="00F527B7"/>
    <w:rsid w:val="00F70BE4"/>
    <w:rsid w:val="00F71A83"/>
    <w:rsid w:val="00F73900"/>
    <w:rsid w:val="00F834BC"/>
    <w:rsid w:val="00F84D3A"/>
    <w:rsid w:val="00F85E26"/>
    <w:rsid w:val="00F8742E"/>
    <w:rsid w:val="00F87EB9"/>
    <w:rsid w:val="00F93DAF"/>
    <w:rsid w:val="00F94A97"/>
    <w:rsid w:val="00F97BE2"/>
    <w:rsid w:val="00F97D68"/>
    <w:rsid w:val="00FA2AB2"/>
    <w:rsid w:val="00FB1E97"/>
    <w:rsid w:val="00FB359E"/>
    <w:rsid w:val="00FC0A66"/>
    <w:rsid w:val="00FC789C"/>
    <w:rsid w:val="00FE32A4"/>
    <w:rsid w:val="00FF40F1"/>
    <w:rsid w:val="0CB57F35"/>
    <w:rsid w:val="1847691A"/>
    <w:rsid w:val="2A4A431A"/>
    <w:rsid w:val="2CEF3285"/>
    <w:rsid w:val="4E370022"/>
    <w:rsid w:val="58065F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semiHidden="0" w:name="toc 1"/>
    <w:lsdException w:qFormat="1" w:uiPriority="39" w:semiHidden="0" w:name="toc 2"/>
    <w:lsdException w:uiPriority="39" w:semiHidden="0" w:name="toc 3"/>
    <w:lsdException w:qFormat="1" w:uiPriority="39" w:semiHidden="0" w:name="toc 4"/>
    <w:lsdException w:uiPriority="39" w:semiHidden="0" w:name="toc 5"/>
    <w:lsdException w:uiPriority="39" w:semiHidden="0" w:name="toc 6"/>
    <w:lsdException w:uiPriority="39" w:semiHidden="0" w:name="toc 7"/>
    <w:lsdException w:uiPriority="39" w:semiHidden="0" w:name="toc 8"/>
    <w:lsdException w:uiPriority="39" w:semiHidden="0"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60" w:after="60" w:line="560" w:lineRule="exact"/>
      <w:ind w:firstLine="200" w:firstLineChars="200"/>
      <w:jc w:val="both"/>
    </w:pPr>
    <w:rPr>
      <w:rFonts w:ascii="Times New Roman" w:hAnsi="Times New Roman" w:eastAsia="仿宋_GB2312" w:cs="Times New Roman"/>
      <w:kern w:val="2"/>
      <w:sz w:val="32"/>
      <w:szCs w:val="32"/>
      <w:lang w:val="en-US" w:eastAsia="zh-CN" w:bidi="ar-SA"/>
    </w:rPr>
  </w:style>
  <w:style w:type="paragraph" w:styleId="2">
    <w:name w:val="heading 1"/>
    <w:basedOn w:val="1"/>
    <w:next w:val="3"/>
    <w:link w:val="24"/>
    <w:qFormat/>
    <w:uiPriority w:val="9"/>
    <w:pPr>
      <w:keepNext/>
      <w:keepLines/>
      <w:numPr>
        <w:ilvl w:val="0"/>
        <w:numId w:val="1"/>
      </w:numPr>
      <w:spacing w:before="0" w:after="0" w:line="600" w:lineRule="exact"/>
      <w:ind w:firstLineChars="0"/>
      <w:outlineLvl w:val="0"/>
    </w:pPr>
    <w:rPr>
      <w:rFonts w:ascii="仿宋_GB2312" w:eastAsia="黑体"/>
      <w:bCs/>
      <w:kern w:val="44"/>
      <w:szCs w:val="44"/>
    </w:rPr>
  </w:style>
  <w:style w:type="paragraph" w:styleId="4">
    <w:name w:val="heading 2"/>
    <w:basedOn w:val="1"/>
    <w:next w:val="3"/>
    <w:link w:val="21"/>
    <w:qFormat/>
    <w:uiPriority w:val="9"/>
    <w:pPr>
      <w:numPr>
        <w:ilvl w:val="1"/>
        <w:numId w:val="1"/>
      </w:numPr>
      <w:spacing w:before="0" w:after="0" w:line="600" w:lineRule="exact"/>
      <w:ind w:firstLineChars="0"/>
      <w:outlineLvl w:val="1"/>
    </w:pPr>
    <w:rPr>
      <w:rFonts w:eastAsia="楷体_GB2312"/>
      <w:bCs/>
    </w:rPr>
  </w:style>
  <w:style w:type="character" w:default="1" w:styleId="18">
    <w:name w:val="Default Paragraph Font"/>
    <w:semiHidden/>
    <w:unhideWhenUsed/>
    <w:qFormat/>
    <w:uiPriority w:val="1"/>
  </w:style>
  <w:style w:type="table" w:default="1" w:styleId="17">
    <w:name w:val="Normal Table"/>
    <w:semiHidden/>
    <w:unhideWhenUsed/>
    <w:uiPriority w:val="99"/>
    <w:tblPr>
      <w:tblCellMar>
        <w:top w:w="0" w:type="dxa"/>
        <w:left w:w="108" w:type="dxa"/>
        <w:bottom w:w="0" w:type="dxa"/>
        <w:right w:w="108" w:type="dxa"/>
      </w:tblCellMar>
    </w:tblPr>
  </w:style>
  <w:style w:type="paragraph" w:customStyle="1" w:styleId="3">
    <w:name w:val="正文2"/>
    <w:basedOn w:val="1"/>
    <w:qFormat/>
    <w:uiPriority w:val="0"/>
    <w:pPr>
      <w:spacing w:before="0" w:after="0" w:line="600" w:lineRule="exact"/>
    </w:pPr>
    <w:rPr>
      <w:rFonts w:ascii="仿宋_GB2312" w:hAnsi="仿宋"/>
    </w:rPr>
  </w:style>
  <w:style w:type="paragraph" w:styleId="5">
    <w:name w:val="toc 7"/>
    <w:basedOn w:val="1"/>
    <w:next w:val="1"/>
    <w:unhideWhenUsed/>
    <w:uiPriority w:val="39"/>
    <w:pPr>
      <w:spacing w:before="0" w:after="0"/>
      <w:ind w:left="1920"/>
      <w:jc w:val="left"/>
    </w:pPr>
    <w:rPr>
      <w:rFonts w:asciiTheme="minorHAnsi" w:hAnsiTheme="minorHAnsi" w:cstheme="minorHAnsi"/>
      <w:sz w:val="18"/>
      <w:szCs w:val="18"/>
    </w:rPr>
  </w:style>
  <w:style w:type="paragraph" w:styleId="6">
    <w:name w:val="toc 5"/>
    <w:basedOn w:val="1"/>
    <w:next w:val="1"/>
    <w:unhideWhenUsed/>
    <w:uiPriority w:val="39"/>
    <w:pPr>
      <w:spacing w:before="0" w:after="0"/>
      <w:ind w:left="1280"/>
      <w:jc w:val="left"/>
    </w:pPr>
    <w:rPr>
      <w:rFonts w:asciiTheme="minorHAnsi" w:hAnsiTheme="minorHAnsi" w:cstheme="minorHAnsi"/>
      <w:sz w:val="18"/>
      <w:szCs w:val="18"/>
    </w:rPr>
  </w:style>
  <w:style w:type="paragraph" w:styleId="7">
    <w:name w:val="toc 3"/>
    <w:basedOn w:val="1"/>
    <w:next w:val="1"/>
    <w:unhideWhenUsed/>
    <w:uiPriority w:val="39"/>
    <w:pPr>
      <w:spacing w:before="0" w:after="0"/>
      <w:ind w:left="640"/>
      <w:jc w:val="left"/>
    </w:pPr>
    <w:rPr>
      <w:rFonts w:asciiTheme="minorHAnsi" w:hAnsiTheme="minorHAnsi" w:cstheme="minorHAnsi"/>
      <w:i/>
      <w:iCs/>
      <w:sz w:val="20"/>
      <w:szCs w:val="20"/>
    </w:rPr>
  </w:style>
  <w:style w:type="paragraph" w:styleId="8">
    <w:name w:val="toc 8"/>
    <w:basedOn w:val="1"/>
    <w:next w:val="1"/>
    <w:unhideWhenUsed/>
    <w:uiPriority w:val="39"/>
    <w:pPr>
      <w:spacing w:before="0" w:after="0"/>
      <w:ind w:left="2240"/>
      <w:jc w:val="left"/>
    </w:pPr>
    <w:rPr>
      <w:rFonts w:asciiTheme="minorHAnsi" w:hAnsiTheme="minorHAnsi" w:cstheme="minorHAnsi"/>
      <w:sz w:val="18"/>
      <w:szCs w:val="18"/>
    </w:rPr>
  </w:style>
  <w:style w:type="paragraph" w:styleId="9">
    <w:name w:val="footer"/>
    <w:basedOn w:val="1"/>
    <w:link w:val="23"/>
    <w:unhideWhenUsed/>
    <w:qFormat/>
    <w:uiPriority w:val="99"/>
    <w:pPr>
      <w:tabs>
        <w:tab w:val="center" w:pos="4153"/>
        <w:tab w:val="right" w:pos="8306"/>
      </w:tabs>
      <w:snapToGrid w:val="0"/>
      <w:jc w:val="left"/>
    </w:pPr>
    <w:rPr>
      <w:sz w:val="18"/>
      <w:szCs w:val="18"/>
    </w:rPr>
  </w:style>
  <w:style w:type="paragraph" w:styleId="10">
    <w:name w:val="header"/>
    <w:basedOn w:val="1"/>
    <w:link w:val="22"/>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toc 1"/>
    <w:basedOn w:val="1"/>
    <w:next w:val="1"/>
    <w:unhideWhenUsed/>
    <w:uiPriority w:val="39"/>
    <w:pPr>
      <w:tabs>
        <w:tab w:val="right" w:leader="dot" w:pos="8494"/>
      </w:tabs>
      <w:spacing w:before="120" w:after="120"/>
      <w:ind w:firstLine="0" w:firstLineChars="0"/>
      <w:jc w:val="left"/>
    </w:pPr>
    <w:rPr>
      <w:rFonts w:asciiTheme="minorHAnsi" w:hAnsiTheme="minorHAnsi" w:cstheme="minorHAnsi"/>
      <w:b/>
      <w:bCs/>
      <w:caps/>
      <w:sz w:val="20"/>
      <w:szCs w:val="20"/>
    </w:rPr>
  </w:style>
  <w:style w:type="paragraph" w:styleId="12">
    <w:name w:val="toc 4"/>
    <w:basedOn w:val="1"/>
    <w:next w:val="1"/>
    <w:unhideWhenUsed/>
    <w:qFormat/>
    <w:uiPriority w:val="39"/>
    <w:pPr>
      <w:spacing w:before="0" w:after="0"/>
      <w:ind w:left="960"/>
      <w:jc w:val="left"/>
    </w:pPr>
    <w:rPr>
      <w:rFonts w:asciiTheme="minorHAnsi" w:hAnsiTheme="minorHAnsi" w:cstheme="minorHAnsi"/>
      <w:sz w:val="18"/>
      <w:szCs w:val="18"/>
    </w:rPr>
  </w:style>
  <w:style w:type="paragraph" w:styleId="13">
    <w:name w:val="toc 6"/>
    <w:basedOn w:val="1"/>
    <w:next w:val="1"/>
    <w:unhideWhenUsed/>
    <w:uiPriority w:val="39"/>
    <w:pPr>
      <w:spacing w:before="0" w:after="0"/>
      <w:ind w:left="1600"/>
      <w:jc w:val="left"/>
    </w:pPr>
    <w:rPr>
      <w:rFonts w:asciiTheme="minorHAnsi" w:hAnsiTheme="minorHAnsi" w:cstheme="minorHAnsi"/>
      <w:sz w:val="18"/>
      <w:szCs w:val="18"/>
    </w:rPr>
  </w:style>
  <w:style w:type="paragraph" w:styleId="14">
    <w:name w:val="toc 2"/>
    <w:basedOn w:val="1"/>
    <w:next w:val="1"/>
    <w:unhideWhenUsed/>
    <w:qFormat/>
    <w:uiPriority w:val="39"/>
    <w:pPr>
      <w:spacing w:before="0" w:after="0"/>
      <w:ind w:left="320"/>
      <w:jc w:val="left"/>
    </w:pPr>
    <w:rPr>
      <w:rFonts w:asciiTheme="minorHAnsi" w:hAnsiTheme="minorHAnsi" w:cstheme="minorHAnsi"/>
      <w:smallCaps/>
      <w:sz w:val="20"/>
      <w:szCs w:val="20"/>
    </w:rPr>
  </w:style>
  <w:style w:type="paragraph" w:styleId="15">
    <w:name w:val="toc 9"/>
    <w:basedOn w:val="1"/>
    <w:next w:val="1"/>
    <w:unhideWhenUsed/>
    <w:uiPriority w:val="39"/>
    <w:pPr>
      <w:spacing w:before="0" w:after="0"/>
      <w:ind w:left="2560"/>
      <w:jc w:val="left"/>
    </w:pPr>
    <w:rPr>
      <w:rFonts w:asciiTheme="minorHAnsi" w:hAnsiTheme="minorHAnsi" w:cstheme="minorHAnsi"/>
      <w:sz w:val="18"/>
      <w:szCs w:val="18"/>
    </w:rPr>
  </w:style>
  <w:style w:type="paragraph" w:styleId="16">
    <w:name w:val="Title"/>
    <w:next w:val="1"/>
    <w:link w:val="25"/>
    <w:qFormat/>
    <w:uiPriority w:val="10"/>
    <w:pPr>
      <w:widowControl w:val="0"/>
      <w:spacing w:before="240" w:after="240" w:line="600" w:lineRule="exact"/>
      <w:jc w:val="center"/>
      <w:outlineLvl w:val="0"/>
    </w:pPr>
    <w:rPr>
      <w:rFonts w:ascii="Times New Roman" w:hAnsi="Times New Roman" w:eastAsia="方正小标宋简体" w:cstheme="majorBidi"/>
      <w:b/>
      <w:bCs/>
      <w:kern w:val="2"/>
      <w:sz w:val="44"/>
      <w:szCs w:val="32"/>
      <w:lang w:val="en-US" w:eastAsia="zh-CN" w:bidi="ar-SA"/>
    </w:rPr>
  </w:style>
  <w:style w:type="character" w:styleId="19">
    <w:name w:val="Hyperlink"/>
    <w:basedOn w:val="18"/>
    <w:unhideWhenUsed/>
    <w:qFormat/>
    <w:uiPriority w:val="99"/>
    <w:rPr>
      <w:color w:val="0000FF" w:themeColor="hyperlink"/>
      <w:u w:val="single"/>
      <w14:textFill>
        <w14:solidFill>
          <w14:schemeClr w14:val="hlink"/>
        </w14:solidFill>
      </w14:textFill>
    </w:rPr>
  </w:style>
  <w:style w:type="character" w:customStyle="1" w:styleId="20">
    <w:name w:val="标题 2 字符"/>
    <w:basedOn w:val="18"/>
    <w:semiHidden/>
    <w:qFormat/>
    <w:uiPriority w:val="9"/>
    <w:rPr>
      <w:rFonts w:asciiTheme="majorHAnsi" w:hAnsiTheme="majorHAnsi" w:eastAsiaTheme="majorEastAsia" w:cstheme="majorBidi"/>
      <w:b/>
      <w:bCs/>
      <w:sz w:val="32"/>
      <w:szCs w:val="32"/>
    </w:rPr>
  </w:style>
  <w:style w:type="character" w:customStyle="1" w:styleId="21">
    <w:name w:val="标题 2 字符1"/>
    <w:link w:val="4"/>
    <w:qFormat/>
    <w:uiPriority w:val="9"/>
    <w:rPr>
      <w:rFonts w:ascii="Times New Roman" w:hAnsi="Times New Roman" w:eastAsia="楷体_GB2312" w:cs="Times New Roman"/>
      <w:bCs/>
      <w:sz w:val="32"/>
      <w:szCs w:val="32"/>
    </w:rPr>
  </w:style>
  <w:style w:type="character" w:customStyle="1" w:styleId="22">
    <w:name w:val="页眉 字符"/>
    <w:basedOn w:val="18"/>
    <w:link w:val="10"/>
    <w:qFormat/>
    <w:uiPriority w:val="99"/>
    <w:rPr>
      <w:rFonts w:ascii="仿宋_GB2312" w:hAnsi="Times New Roman" w:eastAsia="仿宋_GB2312" w:cs="Times New Roman"/>
      <w:sz w:val="18"/>
      <w:szCs w:val="18"/>
    </w:rPr>
  </w:style>
  <w:style w:type="character" w:customStyle="1" w:styleId="23">
    <w:name w:val="页脚 字符"/>
    <w:basedOn w:val="18"/>
    <w:link w:val="9"/>
    <w:uiPriority w:val="99"/>
    <w:rPr>
      <w:rFonts w:ascii="仿宋_GB2312" w:hAnsi="Times New Roman" w:eastAsia="仿宋_GB2312" w:cs="Times New Roman"/>
      <w:sz w:val="18"/>
      <w:szCs w:val="18"/>
    </w:rPr>
  </w:style>
  <w:style w:type="character" w:customStyle="1" w:styleId="24">
    <w:name w:val="标题 1 字符"/>
    <w:basedOn w:val="18"/>
    <w:link w:val="2"/>
    <w:qFormat/>
    <w:uiPriority w:val="9"/>
    <w:rPr>
      <w:rFonts w:ascii="仿宋_GB2312" w:hAnsi="Times New Roman" w:eastAsia="黑体" w:cs="Times New Roman"/>
      <w:bCs/>
      <w:kern w:val="44"/>
      <w:sz w:val="32"/>
      <w:szCs w:val="44"/>
    </w:rPr>
  </w:style>
  <w:style w:type="character" w:customStyle="1" w:styleId="25">
    <w:name w:val="标题 字符"/>
    <w:basedOn w:val="18"/>
    <w:link w:val="16"/>
    <w:uiPriority w:val="10"/>
    <w:rPr>
      <w:rFonts w:ascii="Times New Roman" w:hAnsi="Times New Roman" w:eastAsia="方正小标宋简体" w:cstheme="majorBidi"/>
      <w:b/>
      <w:bCs/>
      <w:sz w:val="44"/>
      <w:szCs w:val="32"/>
    </w:rPr>
  </w:style>
  <w:style w:type="paragraph" w:customStyle="1" w:styleId="26">
    <w:name w:val="修订1"/>
    <w:hidden/>
    <w:semiHidden/>
    <w:qFormat/>
    <w:uiPriority w:val="99"/>
    <w:rPr>
      <w:rFonts w:ascii="Times New Roman" w:hAnsi="Times New Roman" w:eastAsia="仿宋_GB2312" w:cs="Times New Roman"/>
      <w:kern w:val="2"/>
      <w:sz w:val="32"/>
      <w:szCs w:val="3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0" Type="http://schemas.openxmlformats.org/officeDocument/2006/relationships/fontTable" Target="fontTable.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numbering" Target="numbering.xml"/><Relationship Id="rId17" Type="http://schemas.openxmlformats.org/officeDocument/2006/relationships/image" Target="media/image5.jpeg"/><Relationship Id="rId16" Type="http://schemas.openxmlformats.org/officeDocument/2006/relationships/image" Target="media/image4.jpeg"/><Relationship Id="rId15" Type="http://schemas.openxmlformats.org/officeDocument/2006/relationships/image" Target="media/image3.jpeg"/><Relationship Id="rId14" Type="http://schemas.openxmlformats.org/officeDocument/2006/relationships/image" Target="media/image2.jpeg"/><Relationship Id="rId13" Type="http://schemas.openxmlformats.org/officeDocument/2006/relationships/image" Target="media/image1.jpeg"/><Relationship Id="rId12" Type="http://schemas.openxmlformats.org/officeDocument/2006/relationships/theme" Target="theme/theme1.xml"/><Relationship Id="rId11" Type="http://schemas.openxmlformats.org/officeDocument/2006/relationships/footer" Target="foot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989BB8-4582-4E31-91D5-989A776708BC}">
  <ds:schemaRefs/>
</ds:datastoreItem>
</file>

<file path=docProps/app.xml><?xml version="1.0" encoding="utf-8"?>
<Properties xmlns="http://schemas.openxmlformats.org/officeDocument/2006/extended-properties" xmlns:vt="http://schemas.openxmlformats.org/officeDocument/2006/docPropsVTypes">
  <Template>Normal</Template>
  <Pages>28</Pages>
  <Words>8741</Words>
  <Characters>9398</Characters>
  <Lines>81</Lines>
  <Paragraphs>22</Paragraphs>
  <TotalTime>1636</TotalTime>
  <ScaleCrop>false</ScaleCrop>
  <LinksUpToDate>false</LinksUpToDate>
  <CharactersWithSpaces>9598</CharactersWithSpaces>
  <Application>WPS Office_11.1.0.11744_F1E327BC-269C-435d-A152-05C5408002CA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2022-04-14T08:45:00Z</dcterms:created>
  <dc:creator>包 晗</dc:creator>
  <cp:lastModifiedBy>Administrator</cp:lastModifiedBy>
  <dcterms:modified xsi:type="dcterms:W3CDTF">2022-06-07T07:37:35Z</dcterms:modified>
  <cp:revision>459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2052-11.1.0.11744</vt:lpwstr>
  </property>
  <property fmtid="{D5CDD505-2E9C-101B-9397-08002B2CF9AE}" pid="3" name="ICV">
    <vt:lpwstr>B7A2B4EBB2694DF68E104DCFF7F4D455</vt:lpwstr>
  </property>
</Properties>
</file>